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3C0941" w:rsidP="002D6FF6">
            <w:pPr>
              <w:pStyle w:val="1"/>
              <w:ind w:left="720" w:right="-104" w:firstLine="0"/>
              <w:outlineLvl w:val="0"/>
              <w:rPr>
                <w:u w:val="single"/>
              </w:rPr>
            </w:pPr>
            <w:r w:rsidRPr="002D6FF6">
              <w:rPr>
                <w:u w:val="single"/>
              </w:rPr>
              <w:t>КӨРКЕМ ЕҢБЕК МҰҒАЛІМІ</w:t>
            </w:r>
            <w:r>
              <w:rPr>
                <w:u w:val="single"/>
              </w:rPr>
              <w:t>- 1 бірлік</w:t>
            </w:r>
            <w:r w:rsidR="00282F0C">
              <w:rPr>
                <w:u w:val="single"/>
              </w:rPr>
              <w:t xml:space="preserve"> (қыз</w:t>
            </w:r>
            <w:bookmarkStart w:id="0" w:name="_GoBack"/>
            <w:bookmarkEnd w:id="0"/>
            <w:r w:rsidR="002D6FF6">
              <w:rPr>
                <w:u w:val="single"/>
              </w:rPr>
              <w:t>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433EA8"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w:t>
            </w:r>
            <w:r w:rsidRPr="00866963">
              <w:rPr>
                <w:color w:val="000000"/>
                <w:sz w:val="22"/>
                <w:szCs w:val="22"/>
              </w:rPr>
              <w:lastRenderedPageBreak/>
              <w:t xml:space="preserve">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307895" w:rsidRPr="007D0A89" w:rsidRDefault="00307895" w:rsidP="00307895">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307895" w:rsidRPr="007D0A89" w:rsidRDefault="00307895" w:rsidP="00307895">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307895" w:rsidRPr="007D0A89" w:rsidRDefault="00307895" w:rsidP="00307895">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307895" w:rsidRPr="007D0A89" w:rsidRDefault="00307895" w:rsidP="00307895">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07895" w:rsidRPr="007D0A89" w:rsidRDefault="00307895" w:rsidP="00307895">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307895" w:rsidRPr="007D0A89" w:rsidRDefault="00307895" w:rsidP="00307895">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307895" w:rsidRPr="007D0A89" w:rsidRDefault="00307895" w:rsidP="00307895">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307895" w:rsidRPr="007D0A89" w:rsidRDefault="00307895" w:rsidP="00307895">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307895" w:rsidRDefault="00307895" w:rsidP="00307895">
            <w:pPr>
              <w:ind w:right="-1"/>
              <w:jc w:val="both"/>
              <w:rPr>
                <w:rFonts w:ascii="Courier New" w:hAnsi="Courier New" w:cs="Courier New"/>
                <w:color w:val="000000"/>
                <w:spacing w:val="2"/>
                <w:sz w:val="20"/>
                <w:szCs w:val="20"/>
                <w:shd w:val="clear" w:color="auto" w:fill="FFFFFF"/>
                <w:lang w:val="kk-KZ"/>
              </w:rPr>
            </w:pPr>
            <w:r w:rsidRPr="007D0A89">
              <w:rPr>
                <w:bCs/>
                <w:color w:val="000000"/>
                <w:sz w:val="22"/>
                <w:szCs w:val="22"/>
                <w:lang w:val="kk-KZ"/>
              </w:rPr>
              <w:t>9</w:t>
            </w:r>
            <w:r w:rsidRPr="002E0841">
              <w:rPr>
                <w:bCs/>
                <w:color w:val="000000"/>
                <w:sz w:val="22"/>
                <w:szCs w:val="22"/>
                <w:lang w:val="kk-KZ"/>
              </w:rPr>
              <w:t xml:space="preserve">) </w:t>
            </w:r>
            <w:r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307895" w:rsidRDefault="00307895" w:rsidP="00307895">
            <w:pPr>
              <w:ind w:right="-1"/>
              <w:jc w:val="both"/>
              <w:rPr>
                <w:bCs/>
                <w:color w:val="000000"/>
                <w:sz w:val="22"/>
                <w:szCs w:val="22"/>
                <w:lang w:val="kk-KZ"/>
              </w:rPr>
            </w:pPr>
            <w:r w:rsidRPr="007D0A89">
              <w:rPr>
                <w:bCs/>
                <w:color w:val="000000"/>
                <w:sz w:val="22"/>
                <w:szCs w:val="22"/>
                <w:lang w:val="kk-KZ"/>
              </w:rPr>
              <w:t>10) 1</w:t>
            </w:r>
            <w:r w:rsidR="00E01505">
              <w:rPr>
                <w:bCs/>
                <w:color w:val="000000"/>
                <w:sz w:val="22"/>
                <w:szCs w:val="22"/>
                <w:lang w:val="kk-KZ"/>
              </w:rPr>
              <w:t>6</w:t>
            </w:r>
            <w:r w:rsidRPr="007D0A89">
              <w:rPr>
                <w:bCs/>
                <w:color w:val="000000"/>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307895" w:rsidRPr="00D55664" w:rsidRDefault="00307895" w:rsidP="00307895">
            <w:pPr>
              <w:jc w:val="both"/>
              <w:rPr>
                <w:bCs/>
                <w:color w:val="000000"/>
                <w:sz w:val="22"/>
                <w:szCs w:val="22"/>
                <w:lang w:val="kk-KZ"/>
              </w:rPr>
            </w:pPr>
            <w:r>
              <w:rPr>
                <w:bCs/>
                <w:color w:val="000000"/>
                <w:sz w:val="22"/>
                <w:szCs w:val="22"/>
                <w:lang w:val="kk-KZ"/>
              </w:rPr>
              <w:t xml:space="preserve">11) </w:t>
            </w:r>
            <w:r w:rsidRPr="00D55664">
              <w:rPr>
                <w:color w:val="000000"/>
                <w:spacing w:val="2"/>
                <w:sz w:val="22"/>
                <w:szCs w:val="2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p w:rsidR="00866963" w:rsidRPr="00B1712C" w:rsidRDefault="00F8746B" w:rsidP="00866963">
            <w:pPr>
              <w:pStyle w:val="1"/>
              <w:ind w:right="-104" w:firstLine="0"/>
              <w:outlineLvl w:val="0"/>
              <w:rPr>
                <w:b w:val="0"/>
                <w:bCs/>
              </w:rPr>
            </w:pPr>
            <w:r w:rsidRPr="007D0A89">
              <w:rPr>
                <w:color w:val="000000"/>
              </w:rPr>
              <w:lastRenderedPageBreak/>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307895" w:rsidRPr="007D0A89" w:rsidRDefault="00307895" w:rsidP="00307895">
            <w:pPr>
              <w:tabs>
                <w:tab w:val="left" w:pos="142"/>
              </w:tabs>
              <w:ind w:right="-104"/>
              <w:rPr>
                <w:b/>
                <w:sz w:val="22"/>
                <w:szCs w:val="22"/>
                <w:lang w:val="kk-KZ"/>
              </w:rPr>
            </w:pPr>
            <w:r w:rsidRPr="007D0A89">
              <w:rPr>
                <w:b/>
                <w:sz w:val="22"/>
                <w:szCs w:val="22"/>
                <w:lang w:val="kk-KZ"/>
              </w:rPr>
              <w:t>Құжаттарды  қ</w:t>
            </w:r>
            <w:r>
              <w:rPr>
                <w:b/>
                <w:sz w:val="22"/>
                <w:szCs w:val="22"/>
                <w:lang w:val="kk-KZ"/>
              </w:rPr>
              <w:t>абылдау басталған күн, уақыты: 0</w:t>
            </w:r>
            <w:r w:rsidR="00D36996">
              <w:rPr>
                <w:b/>
                <w:sz w:val="22"/>
                <w:szCs w:val="22"/>
                <w:lang w:val="kk-KZ"/>
              </w:rPr>
              <w:t>2</w:t>
            </w:r>
            <w:r>
              <w:rPr>
                <w:b/>
                <w:sz w:val="22"/>
                <w:szCs w:val="22"/>
                <w:lang w:val="kk-KZ"/>
              </w:rPr>
              <w:t>.08.2024ж.,</w:t>
            </w:r>
            <w:r w:rsidRPr="007D0A89">
              <w:rPr>
                <w:b/>
                <w:sz w:val="22"/>
                <w:szCs w:val="22"/>
                <w:lang w:val="kk-KZ"/>
              </w:rPr>
              <w:t>09.00сағ.</w:t>
            </w:r>
          </w:p>
          <w:p w:rsidR="00307895" w:rsidRPr="007D0A89" w:rsidRDefault="00307895" w:rsidP="00307895">
            <w:pPr>
              <w:tabs>
                <w:tab w:val="left" w:pos="142"/>
              </w:tabs>
              <w:ind w:right="-104"/>
              <w:rPr>
                <w:b/>
                <w:sz w:val="22"/>
                <w:szCs w:val="22"/>
                <w:lang w:val="kk-KZ"/>
              </w:rPr>
            </w:pPr>
            <w:r w:rsidRPr="007D0A89">
              <w:rPr>
                <w:b/>
                <w:sz w:val="22"/>
                <w:szCs w:val="22"/>
                <w:lang w:val="kk-KZ"/>
              </w:rPr>
              <w:t>Құжаттарды қаб</w:t>
            </w:r>
            <w:r>
              <w:rPr>
                <w:b/>
                <w:sz w:val="22"/>
                <w:szCs w:val="22"/>
                <w:lang w:val="kk-KZ"/>
              </w:rPr>
              <w:t xml:space="preserve">ылдау аяқталған  күн, уақыты: </w:t>
            </w:r>
            <w:r w:rsidR="00D36996">
              <w:rPr>
                <w:b/>
                <w:sz w:val="22"/>
                <w:szCs w:val="22"/>
                <w:lang w:val="kk-KZ"/>
              </w:rPr>
              <w:t>1</w:t>
            </w:r>
            <w:r w:rsidR="00433EA8">
              <w:rPr>
                <w:b/>
                <w:sz w:val="22"/>
                <w:szCs w:val="22"/>
                <w:lang w:val="kk-KZ"/>
              </w:rPr>
              <w:t>3</w:t>
            </w:r>
            <w:r>
              <w:rPr>
                <w:b/>
                <w:sz w:val="22"/>
                <w:szCs w:val="22"/>
                <w:lang w:val="kk-KZ"/>
              </w:rPr>
              <w:t>.08.2024ж.,</w:t>
            </w:r>
            <w:r w:rsidRPr="007D0A89">
              <w:rPr>
                <w:b/>
                <w:sz w:val="22"/>
                <w:szCs w:val="22"/>
                <w:lang w:val="kk-KZ"/>
              </w:rPr>
              <w:t>16.00сағ.</w:t>
            </w:r>
          </w:p>
          <w:p w:rsidR="008602B6" w:rsidRPr="00866963" w:rsidRDefault="008602B6" w:rsidP="007B7BBF">
            <w:pPr>
              <w:tabs>
                <w:tab w:val="left" w:pos="142"/>
              </w:tabs>
              <w:ind w:right="-104"/>
              <w:rPr>
                <w:b/>
                <w:sz w:val="22"/>
                <w:szCs w:val="22"/>
                <w:lang w:val="kk-KZ"/>
              </w:rPr>
            </w:pP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УЧИТЕЛЬ ХУДОЖЕСТВЕННОГО ТРУДА – 1 единица</w:t>
            </w:r>
            <w:r w:rsidR="00AB5722">
              <w:rPr>
                <w:b/>
                <w:sz w:val="22"/>
                <w:szCs w:val="22"/>
                <w:u w:val="single"/>
                <w:lang w:val="kk-KZ"/>
              </w:rPr>
              <w:t xml:space="preserve"> (</w:t>
            </w:r>
            <w:r w:rsidR="00282F0C">
              <w:rPr>
                <w:b/>
                <w:sz w:val="22"/>
                <w:szCs w:val="22"/>
                <w:u w:val="single"/>
                <w:lang w:val="kk-KZ"/>
              </w:rPr>
              <w:t>девочки</w:t>
            </w:r>
            <w:r w:rsidR="00AB5722">
              <w:rPr>
                <w:b/>
                <w:sz w:val="22"/>
                <w:szCs w:val="22"/>
                <w:u w:val="single"/>
                <w:lang w:val="kk-KZ"/>
              </w:rPr>
              <w:t>)</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w:t>
            </w:r>
            <w:r w:rsidRPr="00FB3C85">
              <w:rPr>
                <w:color w:val="000000"/>
                <w:sz w:val="22"/>
                <w:szCs w:val="22"/>
              </w:rPr>
              <w:lastRenderedPageBreak/>
              <w:t xml:space="preserve">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lastRenderedPageBreak/>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307895" w:rsidRPr="005207EC" w:rsidRDefault="00307895" w:rsidP="00307895">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307895" w:rsidRPr="005207EC" w:rsidRDefault="00307895" w:rsidP="00307895">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307895" w:rsidRPr="005207EC" w:rsidRDefault="00307895" w:rsidP="00307895">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307895" w:rsidRPr="005207EC" w:rsidRDefault="00307895" w:rsidP="00307895">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07895" w:rsidRPr="005207EC" w:rsidRDefault="00307895" w:rsidP="00307895">
            <w:pPr>
              <w:jc w:val="both"/>
              <w:rPr>
                <w:sz w:val="22"/>
                <w:szCs w:val="22"/>
              </w:rPr>
            </w:pPr>
            <w:bookmarkStart w:id="35" w:name="z176"/>
            <w:bookmarkEnd w:id="34"/>
            <w:r w:rsidRPr="005207EC">
              <w:rPr>
                <w:color w:val="000000"/>
                <w:sz w:val="22"/>
                <w:szCs w:val="22"/>
              </w:rPr>
              <w:t>      5) копию документа, подтверждающую трудовую деятельность (при наличии);</w:t>
            </w:r>
          </w:p>
          <w:p w:rsidR="00307895" w:rsidRPr="005207EC" w:rsidRDefault="00307895" w:rsidP="00307895">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07895" w:rsidRPr="005207EC" w:rsidRDefault="00307895" w:rsidP="00307895">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307895" w:rsidRPr="005207EC" w:rsidRDefault="00307895" w:rsidP="00307895">
            <w:pPr>
              <w:jc w:val="both"/>
              <w:rPr>
                <w:sz w:val="22"/>
                <w:szCs w:val="22"/>
              </w:rPr>
            </w:pPr>
            <w:bookmarkStart w:id="38" w:name="z179"/>
            <w:bookmarkEnd w:id="37"/>
            <w:r w:rsidRPr="005207EC">
              <w:rPr>
                <w:color w:val="000000"/>
                <w:sz w:val="22"/>
                <w:szCs w:val="22"/>
              </w:rPr>
              <w:t>      8) справку с наркологической организации;</w:t>
            </w:r>
          </w:p>
          <w:p w:rsidR="00307895" w:rsidRDefault="00307895" w:rsidP="00307895">
            <w:pPr>
              <w:jc w:val="both"/>
              <w:rPr>
                <w:color w:val="000000"/>
                <w:sz w:val="22"/>
                <w:szCs w:val="22"/>
              </w:rPr>
            </w:pPr>
            <w:bookmarkStart w:id="39" w:name="z180"/>
            <w:bookmarkEnd w:id="38"/>
            <w:r w:rsidRPr="005207EC">
              <w:rPr>
                <w:color w:val="000000"/>
                <w:sz w:val="22"/>
                <w:szCs w:val="22"/>
              </w:rPr>
              <w:t xml:space="preserve">      9) </w:t>
            </w:r>
            <w:r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bookmarkEnd w:id="39"/>
            <w:r w:rsidRPr="002E0841">
              <w:rPr>
                <w:color w:val="000000"/>
                <w:sz w:val="18"/>
                <w:szCs w:val="22"/>
              </w:rPr>
              <w:t>     </w:t>
            </w:r>
          </w:p>
          <w:p w:rsidR="00307895" w:rsidRDefault="00307895" w:rsidP="00307895">
            <w:pPr>
              <w:jc w:val="both"/>
              <w:rPr>
                <w:color w:val="000000"/>
                <w:sz w:val="22"/>
                <w:szCs w:val="22"/>
              </w:rPr>
            </w:pPr>
            <w:r w:rsidRPr="005207EC">
              <w:rPr>
                <w:color w:val="000000"/>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w:t>
            </w:r>
            <w:r w:rsidR="00E01505">
              <w:rPr>
                <w:color w:val="000000"/>
                <w:sz w:val="22"/>
                <w:szCs w:val="22"/>
              </w:rPr>
              <w:t>6</w:t>
            </w:r>
            <w:r w:rsidRPr="005207EC">
              <w:rPr>
                <w:color w:val="000000"/>
                <w:sz w:val="22"/>
                <w:szCs w:val="22"/>
              </w:rPr>
              <w:t>.</w:t>
            </w:r>
          </w:p>
          <w:p w:rsidR="008602B6" w:rsidRPr="007D0A89" w:rsidRDefault="00307895" w:rsidP="00307895">
            <w:pPr>
              <w:rPr>
                <w:sz w:val="22"/>
                <w:szCs w:val="22"/>
              </w:rPr>
            </w:pPr>
            <w:r>
              <w:rPr>
                <w:color w:val="000000"/>
                <w:sz w:val="22"/>
                <w:szCs w:val="22"/>
              </w:rPr>
              <w:t xml:space="preserve">11) </w:t>
            </w:r>
            <w:proofErr w:type="spellStart"/>
            <w:r w:rsidRPr="00D55664">
              <w:rPr>
                <w:color w:val="000000"/>
                <w:sz w:val="22"/>
              </w:rPr>
              <w:t>видеопрезентация</w:t>
            </w:r>
            <w:proofErr w:type="spellEnd"/>
            <w:r w:rsidRPr="00D55664">
              <w:rPr>
                <w:color w:val="000000"/>
                <w:sz w:val="22"/>
              </w:rPr>
              <w:t xml:space="preserve"> (</w:t>
            </w:r>
            <w:proofErr w:type="spellStart"/>
            <w:r w:rsidRPr="00D55664">
              <w:rPr>
                <w:color w:val="000000"/>
                <w:sz w:val="22"/>
              </w:rPr>
              <w:t>самопрезентация</w:t>
            </w:r>
            <w:proofErr w:type="spellEnd"/>
            <w:r w:rsidRPr="00D55664">
              <w:rPr>
                <w:color w:val="000000"/>
                <w:sz w:val="22"/>
              </w:rPr>
              <w:t>) для кандидата без стажа продолжительностью не менее 10 минут, с минимальным разрешением – 720 x 480.</w:t>
            </w:r>
            <w:r w:rsidR="008602B6"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Парковая</w:t>
            </w:r>
            <w:r w:rsidR="005207EC" w:rsidRPr="00D92170">
              <w:rPr>
                <w:sz w:val="24"/>
                <w:szCs w:val="24"/>
              </w:rPr>
              <w:t xml:space="preserve">, здание 23/1,  телефон </w:t>
            </w:r>
            <w:r w:rsidR="005207EC" w:rsidRPr="00D92170">
              <w:rPr>
                <w:sz w:val="24"/>
                <w:szCs w:val="24"/>
              </w:rPr>
              <w:lastRenderedPageBreak/>
              <w:t xml:space="preserve">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008602B6" w:rsidRPr="007D0A89">
              <w:rPr>
                <w:b/>
                <w:sz w:val="22"/>
                <w:szCs w:val="22"/>
                <w:u w:val="single"/>
              </w:rPr>
              <w:t>Прием документов для участия в конкурсе осуществляется в течение</w:t>
            </w:r>
            <w:r w:rsidR="008602B6" w:rsidRPr="007D0A89">
              <w:rPr>
                <w:b/>
                <w:sz w:val="22"/>
                <w:szCs w:val="22"/>
                <w:u w:val="single"/>
                <w:lang w:val="kk-KZ"/>
              </w:rPr>
              <w:t xml:space="preserve"> семи</w:t>
            </w:r>
            <w:r w:rsidR="008602B6" w:rsidRPr="007D0A89">
              <w:rPr>
                <w:b/>
                <w:sz w:val="22"/>
                <w:szCs w:val="22"/>
                <w:u w:val="single"/>
              </w:rPr>
              <w:t xml:space="preserve"> рабочих дней со дня публикации объявления</w:t>
            </w:r>
            <w:r w:rsidR="008602B6" w:rsidRPr="007D0A89">
              <w:rPr>
                <w:sz w:val="22"/>
                <w:szCs w:val="22"/>
              </w:rPr>
              <w:t>.</w:t>
            </w:r>
            <w:r w:rsidR="00F8746B">
              <w:rPr>
                <w:sz w:val="22"/>
                <w:szCs w:val="22"/>
                <w:lang w:val="kk-KZ"/>
              </w:rPr>
              <w:t xml:space="preserve"> </w:t>
            </w:r>
            <w:r w:rsidR="008602B6" w:rsidRPr="007D0A89">
              <w:rPr>
                <w:sz w:val="22"/>
                <w:szCs w:val="22"/>
              </w:rPr>
              <w:t xml:space="preserve">Прием документов </w:t>
            </w:r>
            <w:r w:rsidR="008602B6" w:rsidRPr="007D0A89">
              <w:rPr>
                <w:sz w:val="22"/>
                <w:szCs w:val="22"/>
                <w:lang w:val="kk-KZ"/>
              </w:rPr>
              <w:t xml:space="preserve">по </w:t>
            </w:r>
            <w:r w:rsidR="008602B6" w:rsidRPr="007D0A89">
              <w:rPr>
                <w:sz w:val="22"/>
                <w:szCs w:val="22"/>
              </w:rPr>
              <w:t>осуществляется с 09.00 часов до 1</w:t>
            </w:r>
            <w:r w:rsidR="007B7BBF">
              <w:rPr>
                <w:sz w:val="22"/>
                <w:szCs w:val="22"/>
              </w:rPr>
              <w:t>6</w:t>
            </w:r>
            <w:r w:rsidR="008602B6" w:rsidRPr="007D0A89">
              <w:rPr>
                <w:sz w:val="22"/>
                <w:szCs w:val="22"/>
              </w:rPr>
              <w:t>:00 часов с перерывом на обед с 13.00 часов до 14.00 часов.</w:t>
            </w:r>
          </w:p>
          <w:p w:rsidR="00307895" w:rsidRPr="007D0A89" w:rsidRDefault="00307895" w:rsidP="00307895">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Pr>
                <w:b/>
                <w:sz w:val="22"/>
                <w:szCs w:val="22"/>
              </w:rPr>
              <w:t>0</w:t>
            </w:r>
            <w:r w:rsidR="00D36996">
              <w:rPr>
                <w:b/>
                <w:sz w:val="22"/>
                <w:szCs w:val="22"/>
              </w:rPr>
              <w:t>2</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lang w:val="kk-KZ"/>
              </w:rPr>
              <w:t>4</w:t>
            </w:r>
            <w:r w:rsidRPr="007D0A89">
              <w:rPr>
                <w:b/>
                <w:sz w:val="22"/>
                <w:szCs w:val="22"/>
              </w:rPr>
              <w:t>г., 09.00ч.</w:t>
            </w:r>
          </w:p>
          <w:p w:rsidR="00307895" w:rsidRPr="007D0A89" w:rsidRDefault="00307895" w:rsidP="00307895">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D36996">
              <w:rPr>
                <w:b/>
                <w:sz w:val="22"/>
                <w:szCs w:val="22"/>
              </w:rPr>
              <w:t>1</w:t>
            </w:r>
            <w:r w:rsidR="00433EA8">
              <w:rPr>
                <w:b/>
                <w:sz w:val="22"/>
                <w:szCs w:val="22"/>
              </w:rPr>
              <w:t>3</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8602B6" w:rsidRPr="00307895" w:rsidRDefault="008602B6" w:rsidP="007B7BBF">
            <w:pPr>
              <w:rPr>
                <w:sz w:val="22"/>
                <w:szCs w:val="22"/>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A074B"/>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642B"/>
    <w:rsid w:val="0028065C"/>
    <w:rsid w:val="00282F0C"/>
    <w:rsid w:val="002875AB"/>
    <w:rsid w:val="002A504C"/>
    <w:rsid w:val="002B2393"/>
    <w:rsid w:val="002B75A7"/>
    <w:rsid w:val="002C530F"/>
    <w:rsid w:val="002D6FF6"/>
    <w:rsid w:val="002E2276"/>
    <w:rsid w:val="002F18D8"/>
    <w:rsid w:val="002F7816"/>
    <w:rsid w:val="00305132"/>
    <w:rsid w:val="00307895"/>
    <w:rsid w:val="0032127B"/>
    <w:rsid w:val="00333AB8"/>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3EA8"/>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996"/>
    <w:rsid w:val="00D36A46"/>
    <w:rsid w:val="00D37558"/>
    <w:rsid w:val="00D409ED"/>
    <w:rsid w:val="00D4690E"/>
    <w:rsid w:val="00D73648"/>
    <w:rsid w:val="00D84D7A"/>
    <w:rsid w:val="00D86B52"/>
    <w:rsid w:val="00D87FB5"/>
    <w:rsid w:val="00DB1EA2"/>
    <w:rsid w:val="00DE6540"/>
    <w:rsid w:val="00E01505"/>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A0456"/>
    <w:rsid w:val="00EB1FFA"/>
    <w:rsid w:val="00EB459C"/>
    <w:rsid w:val="00EC0D08"/>
    <w:rsid w:val="00EC1B49"/>
    <w:rsid w:val="00EF1101"/>
    <w:rsid w:val="00EF4102"/>
    <w:rsid w:val="00EF5DCA"/>
    <w:rsid w:val="00F04FDA"/>
    <w:rsid w:val="00F0779B"/>
    <w:rsid w:val="00F32411"/>
    <w:rsid w:val="00F65E34"/>
    <w:rsid w:val="00F73657"/>
    <w:rsid w:val="00F777DB"/>
    <w:rsid w:val="00F85D88"/>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D70E5-6BD4-4E56-9D9A-828E5A02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2354</Words>
  <Characters>13422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7</cp:revision>
  <cp:lastPrinted>2020-09-14T06:03:00Z</cp:lastPrinted>
  <dcterms:created xsi:type="dcterms:W3CDTF">2024-07-31T05:07:00Z</dcterms:created>
  <dcterms:modified xsi:type="dcterms:W3CDTF">2024-12-19T05:53:00Z</dcterms:modified>
</cp:coreProperties>
</file>