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B71D" w14:textId="77777777" w:rsidR="00AA1FBE" w:rsidRPr="00B66920" w:rsidRDefault="00AA1FBE" w:rsidP="00AA1FBE">
      <w:pPr>
        <w:spacing w:after="0" w:line="240" w:lineRule="auto"/>
        <w:ind w:firstLine="567"/>
        <w:jc w:val="center"/>
        <w:rPr>
          <w:rFonts w:ascii="Times New Roman" w:eastAsia="Times New Roman" w:hAnsi="Times New Roman"/>
          <w:b/>
          <w:sz w:val="28"/>
          <w:szCs w:val="28"/>
          <w:lang w:val="kk-KZ" w:eastAsia="ru-RU"/>
        </w:rPr>
      </w:pPr>
      <w:r w:rsidRPr="00B66920">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14:paraId="0DF9B41F" w14:textId="77777777" w:rsidR="00AA1FBE" w:rsidRPr="00B66920" w:rsidRDefault="00AA1FBE" w:rsidP="00AA1FBE">
      <w:pPr>
        <w:spacing w:after="0" w:line="240" w:lineRule="auto"/>
        <w:ind w:firstLine="567"/>
        <w:rPr>
          <w:rFonts w:ascii="Times New Roman" w:eastAsia="Times New Roman" w:hAnsi="Times New Roman"/>
          <w:b/>
          <w:sz w:val="28"/>
          <w:szCs w:val="28"/>
          <w:lang w:val="kk-KZ" w:eastAsia="ru-RU"/>
        </w:rPr>
      </w:pPr>
    </w:p>
    <w:p w14:paraId="3F7FC1E8" w14:textId="77777777" w:rsidR="00AA1FBE" w:rsidRPr="00B66920" w:rsidRDefault="00AA1FBE" w:rsidP="00AA1FBE">
      <w:pPr>
        <w:pStyle w:val="a3"/>
        <w:rPr>
          <w:rFonts w:ascii="Times New Roman" w:hAnsi="Times New Roman"/>
          <w:sz w:val="28"/>
          <w:szCs w:val="28"/>
          <w:lang w:val="kk-KZ"/>
        </w:rPr>
      </w:pPr>
      <w:r w:rsidRPr="00B66920">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p>
    <w:p w14:paraId="233EC769" w14:textId="77777777" w:rsidR="00AA1FBE" w:rsidRPr="00AA1FBE" w:rsidRDefault="00AA1FBE" w:rsidP="00A26718">
      <w:pPr>
        <w:numPr>
          <w:ilvl w:val="0"/>
          <w:numId w:val="1"/>
        </w:numPr>
        <w:tabs>
          <w:tab w:val="left" w:pos="567"/>
        </w:tabs>
        <w:spacing w:after="0" w:line="240" w:lineRule="auto"/>
        <w:ind w:left="0" w:firstLine="0"/>
        <w:rPr>
          <w:rFonts w:ascii="Times New Roman" w:hAnsi="Times New Roman"/>
          <w:i/>
          <w:sz w:val="28"/>
          <w:szCs w:val="28"/>
          <w:u w:val="single"/>
          <w:lang w:val="kk-KZ"/>
        </w:rPr>
      </w:pPr>
      <w:r w:rsidRPr="00295B8B">
        <w:rPr>
          <w:rFonts w:ascii="Times New Roman" w:eastAsia="Times New Roman" w:hAnsi="Times New Roman"/>
          <w:i/>
          <w:color w:val="1E1E1E"/>
          <w:sz w:val="28"/>
          <w:szCs w:val="28"/>
          <w:u w:val="single"/>
          <w:lang w:val="kk-KZ" w:eastAsia="ru-RU"/>
        </w:rPr>
        <w:t>Білім беру ұйымының педагог-ассистенті</w:t>
      </w:r>
      <w:r w:rsidRPr="00FA091A">
        <w:rPr>
          <w:rFonts w:ascii="Times New Roman" w:hAnsi="Times New Roman"/>
          <w:i/>
          <w:sz w:val="28"/>
          <w:szCs w:val="28"/>
          <w:u w:val="single"/>
          <w:lang w:val="kk-KZ"/>
        </w:rPr>
        <w:t xml:space="preserve"> – 1 бірлік </w:t>
      </w:r>
    </w:p>
    <w:p w14:paraId="3A74D0BA" w14:textId="77777777" w:rsidR="00AA1FBE" w:rsidRPr="00780FB2" w:rsidRDefault="00AA1FBE" w:rsidP="00A26718">
      <w:pPr>
        <w:tabs>
          <w:tab w:val="left" w:pos="567"/>
        </w:tabs>
        <w:spacing w:after="0" w:line="240" w:lineRule="auto"/>
        <w:rPr>
          <w:rFonts w:ascii="Times New Roman" w:hAnsi="Times New Roman"/>
          <w:i/>
          <w:sz w:val="28"/>
          <w:szCs w:val="28"/>
          <w:u w:val="single"/>
          <w:lang w:val="kk-KZ"/>
        </w:rPr>
      </w:pPr>
    </w:p>
    <w:p w14:paraId="2E783149" w14:textId="77777777" w:rsidR="00AA1FBE" w:rsidRDefault="00AA1FBE" w:rsidP="00A26718">
      <w:pPr>
        <w:pStyle w:val="a4"/>
        <w:spacing w:before="0" w:beforeAutospacing="0" w:after="0" w:afterAutospacing="0"/>
        <w:outlineLvl w:val="0"/>
        <w:rPr>
          <w:bCs/>
          <w:color w:val="000000"/>
          <w:sz w:val="28"/>
          <w:szCs w:val="28"/>
          <w:lang w:val="kk-KZ"/>
        </w:rPr>
      </w:pPr>
      <w:r w:rsidRPr="00B66920">
        <w:rPr>
          <w:b/>
          <w:color w:val="000000"/>
          <w:sz w:val="28"/>
          <w:szCs w:val="28"/>
          <w:lang w:val="kk-KZ"/>
        </w:rPr>
        <w:t xml:space="preserve">Атауы: </w:t>
      </w:r>
      <w:r w:rsidRPr="00B66920">
        <w:rPr>
          <w:bCs/>
          <w:color w:val="000000"/>
          <w:sz w:val="28"/>
          <w:szCs w:val="28"/>
          <w:lang w:val="kk-KZ"/>
        </w:rPr>
        <w:t xml:space="preserve">Қарағанды облысы білім басқармасының Шахтинск қаласы білім бөлімінің  </w:t>
      </w:r>
      <w:r w:rsidRPr="00B66920">
        <w:rPr>
          <w:b/>
          <w:bCs/>
          <w:color w:val="000000"/>
          <w:sz w:val="28"/>
          <w:szCs w:val="28"/>
          <w:lang w:val="kk-KZ"/>
        </w:rPr>
        <w:t>«Ә.Бөкейханов атындағы мектеп - лицейі»</w:t>
      </w:r>
      <w:r w:rsidRPr="00B66920">
        <w:rPr>
          <w:bCs/>
          <w:color w:val="000000"/>
          <w:sz w:val="28"/>
          <w:szCs w:val="28"/>
          <w:lang w:val="kk-KZ"/>
        </w:rPr>
        <w:t xml:space="preserve">  коммуналдық мемлекеттік мекемесі.</w:t>
      </w:r>
    </w:p>
    <w:p w14:paraId="54077C75" w14:textId="77777777" w:rsidR="00AA1FBE" w:rsidRDefault="00AA1FBE" w:rsidP="00AA1FBE">
      <w:pPr>
        <w:spacing w:after="0" w:line="240" w:lineRule="auto"/>
        <w:rPr>
          <w:rFonts w:ascii="Times New Roman" w:hAnsi="Times New Roman"/>
          <w:color w:val="000000"/>
          <w:sz w:val="28"/>
          <w:szCs w:val="28"/>
          <w:lang w:val="kk-KZ"/>
        </w:rPr>
      </w:pPr>
      <w:r w:rsidRPr="00B66920">
        <w:rPr>
          <w:rFonts w:ascii="Times New Roman" w:eastAsia="Times New Roman" w:hAnsi="Times New Roman"/>
          <w:b/>
          <w:color w:val="000000"/>
          <w:sz w:val="28"/>
          <w:szCs w:val="28"/>
          <w:lang w:val="kk-KZ" w:eastAsia="ru-RU"/>
        </w:rPr>
        <w:t>Негізгі бағыты:</w:t>
      </w:r>
      <w:r w:rsidRPr="00B66920">
        <w:rPr>
          <w:rFonts w:ascii="Times New Roman" w:eastAsia="Times New Roman" w:hAnsi="Times New Roman"/>
          <w:color w:val="000000"/>
          <w:sz w:val="28"/>
          <w:szCs w:val="28"/>
          <w:lang w:val="kk-KZ" w:eastAsia="ru-RU"/>
        </w:rPr>
        <w:t xml:space="preserve"> </w:t>
      </w:r>
      <w:bookmarkStart w:id="0" w:name="_Hlk110954168"/>
      <w:r w:rsidRPr="00B66920">
        <w:rPr>
          <w:rFonts w:ascii="Times New Roman" w:eastAsia="Times New Roman" w:hAnsi="Times New Roman"/>
          <w:b/>
          <w:color w:val="000000"/>
          <w:sz w:val="28"/>
          <w:szCs w:val="28"/>
          <w:lang w:val="kk-KZ" w:eastAsia="ru-RU"/>
        </w:rPr>
        <w:t>:</w:t>
      </w:r>
      <w:r w:rsidRPr="00B66920">
        <w:rPr>
          <w:rFonts w:ascii="Times New Roman" w:eastAsia="Times New Roman" w:hAnsi="Times New Roman"/>
          <w:color w:val="000000"/>
          <w:sz w:val="28"/>
          <w:szCs w:val="28"/>
          <w:lang w:val="kk-KZ" w:eastAsia="ru-RU"/>
        </w:rPr>
        <w:t xml:space="preserve"> </w:t>
      </w:r>
      <w:bookmarkEnd w:id="0"/>
      <w:r w:rsidRPr="00B66920">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14:paraId="3E3E8486" w14:textId="77777777" w:rsidR="00AA1FBE" w:rsidRDefault="00AA1FBE" w:rsidP="00AA1FBE">
      <w:pPr>
        <w:spacing w:after="0" w:line="240" w:lineRule="auto"/>
        <w:rPr>
          <w:rFonts w:ascii="Times New Roman" w:eastAsia="Times New Roman" w:hAnsi="Times New Roman"/>
          <w:color w:val="000000"/>
          <w:sz w:val="28"/>
          <w:szCs w:val="28"/>
          <w:lang w:val="kk-KZ" w:eastAsia="ru-RU"/>
        </w:rPr>
      </w:pPr>
      <w:r w:rsidRPr="00B66920">
        <w:rPr>
          <w:rFonts w:ascii="Times New Roman" w:eastAsia="Times New Roman" w:hAnsi="Times New Roman"/>
          <w:b/>
          <w:bCs/>
          <w:color w:val="000000"/>
          <w:sz w:val="28"/>
          <w:szCs w:val="28"/>
          <w:lang w:val="kk-KZ" w:eastAsia="ru-RU"/>
        </w:rPr>
        <w:t xml:space="preserve">Орналасқан орны(мекен-жайы): </w:t>
      </w:r>
      <w:r w:rsidRPr="00B66920">
        <w:rPr>
          <w:rFonts w:ascii="Times New Roman" w:eastAsia="Times New Roman" w:hAnsi="Times New Roman"/>
          <w:bCs/>
          <w:color w:val="000000"/>
          <w:sz w:val="28"/>
          <w:szCs w:val="28"/>
          <w:lang w:val="kk-KZ" w:eastAsia="ru-RU"/>
        </w:rPr>
        <w:t xml:space="preserve">101600, </w:t>
      </w:r>
      <w:r w:rsidRPr="00B66920">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5" w:history="1">
        <w:r w:rsidRPr="00B66920">
          <w:rPr>
            <w:rStyle w:val="a5"/>
            <w:rFonts w:eastAsia="Times New Roman"/>
            <w:sz w:val="28"/>
            <w:szCs w:val="28"/>
            <w:lang w:val="kk-KZ" w:eastAsia="ru-RU"/>
          </w:rPr>
          <w:t>shahtinsk_shlic@krg.gov.kz</w:t>
        </w:r>
      </w:hyperlink>
      <w:r w:rsidRPr="00B66920">
        <w:rPr>
          <w:rFonts w:ascii="Times New Roman" w:eastAsia="Times New Roman" w:hAnsi="Times New Roman"/>
          <w:color w:val="000000"/>
          <w:sz w:val="28"/>
          <w:szCs w:val="28"/>
          <w:lang w:val="kk-KZ" w:eastAsia="ru-RU"/>
        </w:rPr>
        <w:t>.</w:t>
      </w:r>
    </w:p>
    <w:p w14:paraId="7F6ED15B" w14:textId="77777777" w:rsidR="00AA1FBE" w:rsidRDefault="00AA1FBE" w:rsidP="00AA1FBE">
      <w:pPr>
        <w:spacing w:after="0" w:line="240" w:lineRule="auto"/>
        <w:rPr>
          <w:rFonts w:ascii="Times New Roman" w:hAnsi="Times New Roman"/>
          <w:b/>
          <w:sz w:val="28"/>
          <w:szCs w:val="28"/>
          <w:lang w:val="kk-KZ" w:eastAsia="ru-RU"/>
        </w:rPr>
      </w:pPr>
    </w:p>
    <w:p w14:paraId="5962979A" w14:textId="77777777" w:rsidR="00AA1FBE" w:rsidRDefault="00AA1FBE" w:rsidP="00AA1FBE">
      <w:pPr>
        <w:spacing w:after="0" w:line="240" w:lineRule="auto"/>
        <w:rPr>
          <w:rFonts w:ascii="Times New Roman" w:hAnsi="Times New Roman"/>
          <w:bCs/>
          <w:i/>
          <w:color w:val="1E1E1E"/>
          <w:sz w:val="28"/>
          <w:szCs w:val="28"/>
          <w:u w:val="single"/>
          <w:lang w:val="kk-KZ"/>
        </w:rPr>
      </w:pPr>
      <w:r w:rsidRPr="0099104D">
        <w:rPr>
          <w:rFonts w:ascii="Times New Roman" w:hAnsi="Times New Roman"/>
          <w:b/>
          <w:sz w:val="28"/>
          <w:szCs w:val="28"/>
          <w:lang w:val="kk-KZ" w:eastAsia="ru-RU"/>
        </w:rPr>
        <w:t xml:space="preserve">Азаматтық қызметкердің лауазымдық жалақысы </w:t>
      </w:r>
      <w:r>
        <w:rPr>
          <w:rFonts w:ascii="Times New Roman" w:hAnsi="Times New Roman"/>
          <w:b/>
          <w:sz w:val="28"/>
          <w:szCs w:val="28"/>
          <w:lang w:val="kk-KZ" w:eastAsia="ru-RU"/>
        </w:rPr>
        <w:t xml:space="preserve"> </w:t>
      </w:r>
      <w:r w:rsidRPr="00295B8B">
        <w:rPr>
          <w:rFonts w:ascii="Times New Roman" w:eastAsia="Times New Roman" w:hAnsi="Times New Roman"/>
          <w:i/>
          <w:color w:val="1E1E1E"/>
          <w:sz w:val="28"/>
          <w:szCs w:val="28"/>
          <w:u w:val="single"/>
          <w:lang w:val="kk-KZ" w:eastAsia="ru-RU"/>
        </w:rPr>
        <w:t>Білім беру ұйымының педагог-ассистенті</w:t>
      </w:r>
      <w:r>
        <w:rPr>
          <w:rFonts w:ascii="Times New Roman" w:eastAsia="Times New Roman" w:hAnsi="Times New Roman"/>
          <w:i/>
          <w:color w:val="1E1E1E"/>
          <w:sz w:val="28"/>
          <w:szCs w:val="28"/>
          <w:u w:val="single"/>
          <w:lang w:val="kk-KZ" w:eastAsia="ru-RU"/>
        </w:rPr>
        <w:t>.</w:t>
      </w:r>
    </w:p>
    <w:p w14:paraId="365EDF6A" w14:textId="77777777" w:rsidR="00AA1FBE" w:rsidRPr="0099104D" w:rsidRDefault="00AA1FBE" w:rsidP="00AA1FBE">
      <w:pPr>
        <w:spacing w:after="0" w:line="240" w:lineRule="auto"/>
        <w:rPr>
          <w:rFonts w:ascii="Times New Roman" w:hAnsi="Times New Roman"/>
          <w:bCs/>
          <w:i/>
          <w:color w:val="1E1E1E"/>
          <w:sz w:val="28"/>
          <w:szCs w:val="28"/>
          <w:u w:val="single"/>
          <w:lang w:val="kk-KZ" w:eastAsia="ru-RU"/>
        </w:rPr>
      </w:pPr>
    </w:p>
    <w:tbl>
      <w:tblPr>
        <w:tblW w:w="0" w:type="auto"/>
        <w:tblLook w:val="04A0" w:firstRow="1" w:lastRow="0" w:firstColumn="1" w:lastColumn="0" w:noHBand="0" w:noVBand="1"/>
      </w:tblPr>
      <w:tblGrid>
        <w:gridCol w:w="1403"/>
        <w:gridCol w:w="1732"/>
        <w:gridCol w:w="2987"/>
        <w:gridCol w:w="3204"/>
      </w:tblGrid>
      <w:tr w:rsidR="00AA1FBE" w:rsidRPr="00AC46AB" w14:paraId="4DE00B1A" w14:textId="77777777" w:rsidTr="001D2F9B">
        <w:trPr>
          <w:cantSplit/>
        </w:trPr>
        <w:tc>
          <w:tcPr>
            <w:tcW w:w="140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ADB1A2" w14:textId="77777777" w:rsidR="00AA1FBE" w:rsidRPr="0099104D" w:rsidRDefault="00AA1FBE" w:rsidP="001D2F9B">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Буын</w:t>
            </w:r>
          </w:p>
        </w:tc>
        <w:tc>
          <w:tcPr>
            <w:tcW w:w="1732" w:type="dxa"/>
            <w:vMerge w:val="restart"/>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528482AB" w14:textId="77777777" w:rsidR="00AA1FBE" w:rsidRPr="0099104D" w:rsidRDefault="00AA1FBE" w:rsidP="001D2F9B">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Саты</w:t>
            </w:r>
          </w:p>
        </w:tc>
        <w:tc>
          <w:tcPr>
            <w:tcW w:w="6191" w:type="dxa"/>
            <w:gridSpan w:val="2"/>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095CCD6" w14:textId="77777777" w:rsidR="00AA1FBE" w:rsidRPr="0099104D" w:rsidRDefault="00AA1FBE" w:rsidP="001D2F9B">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Қызмет атқарған жылдарына байланысты лауазымдық жалақысы(теңге)</w:t>
            </w:r>
          </w:p>
        </w:tc>
      </w:tr>
      <w:tr w:rsidR="00AA1FBE" w:rsidRPr="0099104D" w14:paraId="4260AE8D" w14:textId="77777777" w:rsidTr="001D2F9B">
        <w:tc>
          <w:tcPr>
            <w:tcW w:w="0" w:type="auto"/>
            <w:vMerge/>
            <w:tcBorders>
              <w:top w:val="outset" w:sz="6" w:space="0" w:color="auto"/>
              <w:left w:val="outset" w:sz="6" w:space="0" w:color="auto"/>
              <w:bottom w:val="outset" w:sz="6" w:space="0" w:color="auto"/>
              <w:right w:val="outset" w:sz="6" w:space="0" w:color="auto"/>
            </w:tcBorders>
            <w:vAlign w:val="center"/>
            <w:hideMark/>
          </w:tcPr>
          <w:p w14:paraId="2716CAB9" w14:textId="77777777" w:rsidR="00AA1FBE" w:rsidRPr="0099104D" w:rsidRDefault="00AA1FBE" w:rsidP="001D2F9B">
            <w:pPr>
              <w:spacing w:after="0" w:line="240" w:lineRule="auto"/>
              <w:ind w:firstLine="567"/>
              <w:rPr>
                <w:rFonts w:ascii="Times New Roman" w:hAnsi="Times New Roman"/>
                <w:b/>
                <w:bCs/>
                <w:sz w:val="28"/>
                <w:szCs w:val="28"/>
                <w:lang w:val="kk-KZ"/>
              </w:rPr>
            </w:pPr>
          </w:p>
        </w:tc>
        <w:tc>
          <w:tcPr>
            <w:tcW w:w="0" w:type="auto"/>
            <w:vMerge/>
            <w:tcBorders>
              <w:top w:val="outset" w:sz="6" w:space="0" w:color="auto"/>
              <w:left w:val="single" w:sz="2" w:space="0" w:color="auto"/>
              <w:bottom w:val="outset" w:sz="6" w:space="0" w:color="auto"/>
              <w:right w:val="outset" w:sz="6" w:space="0" w:color="auto"/>
            </w:tcBorders>
            <w:vAlign w:val="center"/>
            <w:hideMark/>
          </w:tcPr>
          <w:p w14:paraId="306BF2B9" w14:textId="77777777" w:rsidR="00AA1FBE" w:rsidRPr="0099104D" w:rsidRDefault="00AA1FBE" w:rsidP="001D2F9B">
            <w:pPr>
              <w:spacing w:after="0" w:line="240" w:lineRule="auto"/>
              <w:ind w:firstLine="567"/>
              <w:rPr>
                <w:rFonts w:ascii="Times New Roman" w:hAnsi="Times New Roman"/>
                <w:b/>
                <w:bCs/>
                <w:sz w:val="28"/>
                <w:szCs w:val="28"/>
                <w:lang w:val="kk-KZ"/>
              </w:rPr>
            </w:pPr>
          </w:p>
        </w:tc>
        <w:tc>
          <w:tcPr>
            <w:tcW w:w="2987"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384B830B" w14:textId="77777777" w:rsidR="00AA1FBE" w:rsidRPr="0099104D" w:rsidRDefault="00AA1FBE" w:rsidP="001D2F9B">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бастап</w:t>
            </w:r>
          </w:p>
        </w:tc>
        <w:tc>
          <w:tcPr>
            <w:tcW w:w="3204"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3EEFCAF" w14:textId="77777777" w:rsidR="00AA1FBE" w:rsidRPr="0099104D" w:rsidRDefault="00AA1FBE" w:rsidP="001D2F9B">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дейін</w:t>
            </w:r>
          </w:p>
        </w:tc>
      </w:tr>
      <w:tr w:rsidR="00AA1FBE" w:rsidRPr="0099104D" w14:paraId="2A9E2D3D" w14:textId="77777777" w:rsidTr="001D2F9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12151D0F" w14:textId="77777777" w:rsidR="00AA1FBE" w:rsidRPr="0099104D" w:rsidRDefault="00AA1FBE" w:rsidP="001D2F9B">
            <w:pPr>
              <w:spacing w:after="0" w:line="240" w:lineRule="auto"/>
              <w:ind w:firstLine="567"/>
              <w:rPr>
                <w:rFonts w:ascii="Times New Roman" w:hAnsi="Times New Roman"/>
                <w:sz w:val="28"/>
                <w:szCs w:val="28"/>
              </w:rPr>
            </w:pPr>
            <w:r w:rsidRPr="0099104D">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4F088704" w14:textId="77777777" w:rsidR="00AA1FBE" w:rsidRPr="0099104D" w:rsidRDefault="00AA1FBE" w:rsidP="001D2F9B">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4</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153071A2" w14:textId="77777777" w:rsidR="00AA1FBE" w:rsidRPr="0099104D" w:rsidRDefault="00AA1FBE" w:rsidP="001D2F9B">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124587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7E840AC5" w14:textId="77777777" w:rsidR="00AA1FBE" w:rsidRPr="0099104D" w:rsidRDefault="00AA1FBE" w:rsidP="001D2F9B">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148301</w:t>
            </w:r>
          </w:p>
        </w:tc>
      </w:tr>
      <w:tr w:rsidR="00AA1FBE" w:rsidRPr="00B82D00" w14:paraId="290A868E" w14:textId="77777777" w:rsidTr="001D2F9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113A58CD" w14:textId="77777777" w:rsidR="00AA1FBE" w:rsidRPr="00B82D00" w:rsidRDefault="00AA1FBE" w:rsidP="001D2F9B">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066D6992" w14:textId="77777777" w:rsidR="00AA1FBE" w:rsidRPr="00B82D00" w:rsidRDefault="00AA1FBE"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3</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2E77C940" w14:textId="77777777" w:rsidR="00AA1FBE" w:rsidRPr="00B82D00" w:rsidRDefault="00AA1FBE"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135205</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44707377" w14:textId="77777777" w:rsidR="00AA1FBE" w:rsidRPr="00B82D00" w:rsidRDefault="00AA1FBE"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159273</w:t>
            </w:r>
          </w:p>
        </w:tc>
      </w:tr>
      <w:tr w:rsidR="00AA1FBE" w:rsidRPr="00B82D00" w14:paraId="14DDFB17" w14:textId="77777777" w:rsidTr="001D2F9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13D8C5C3" w14:textId="77777777" w:rsidR="00AA1FBE" w:rsidRPr="00B82D00" w:rsidRDefault="00AA1FBE" w:rsidP="001D2F9B">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7E278AF3" w14:textId="77777777" w:rsidR="00AA1FBE" w:rsidRPr="00B82D00" w:rsidRDefault="00AA1FBE"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2</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4E0A868F" w14:textId="77777777" w:rsidR="00AA1FBE" w:rsidRPr="00B82D00" w:rsidRDefault="00AA1FBE"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136267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04D90693" w14:textId="77777777" w:rsidR="00AA1FBE" w:rsidRPr="00B82D00" w:rsidRDefault="00AA1FBE"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159627</w:t>
            </w:r>
          </w:p>
        </w:tc>
      </w:tr>
      <w:tr w:rsidR="00AA1FBE" w:rsidRPr="00B82D00" w14:paraId="48D14B92" w14:textId="77777777" w:rsidTr="001D2F9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22F651FC" w14:textId="77777777" w:rsidR="00AA1FBE" w:rsidRPr="00B82D00" w:rsidRDefault="00AA1FBE" w:rsidP="001D2F9B">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5EB405F7" w14:textId="77777777" w:rsidR="00AA1FBE" w:rsidRPr="00B82D00" w:rsidRDefault="00AA1FBE"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3B55B144" w14:textId="77777777" w:rsidR="00AA1FBE" w:rsidRPr="00B82D00" w:rsidRDefault="00AA1FBE"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146177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617E640E" w14:textId="77777777" w:rsidR="00AA1FBE" w:rsidRPr="00B82D00" w:rsidRDefault="00AA1FBE"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168122</w:t>
            </w:r>
          </w:p>
        </w:tc>
      </w:tr>
    </w:tbl>
    <w:p w14:paraId="204CFBC1" w14:textId="77777777" w:rsidR="00AA1FBE" w:rsidRPr="00B82D00" w:rsidRDefault="00AA1FBE" w:rsidP="00AA1FBE">
      <w:pPr>
        <w:pStyle w:val="a4"/>
        <w:shd w:val="clear" w:color="auto" w:fill="FFFFFF"/>
        <w:spacing w:before="0" w:beforeAutospacing="0" w:after="0" w:afterAutospacing="0"/>
        <w:jc w:val="both"/>
        <w:textAlignment w:val="baseline"/>
        <w:rPr>
          <w:b/>
          <w:color w:val="000000"/>
          <w:sz w:val="28"/>
          <w:szCs w:val="28"/>
          <w:lang w:val="kk-KZ"/>
        </w:rPr>
      </w:pPr>
    </w:p>
    <w:p w14:paraId="4462DB2D" w14:textId="77777777" w:rsidR="00AA1FBE" w:rsidRPr="00B82D00" w:rsidRDefault="00AA1FBE" w:rsidP="00AA1FBE">
      <w:pPr>
        <w:pStyle w:val="a4"/>
        <w:shd w:val="clear" w:color="auto" w:fill="FFFFFF"/>
        <w:spacing w:before="0" w:beforeAutospacing="0" w:after="0" w:afterAutospacing="0"/>
        <w:jc w:val="both"/>
        <w:textAlignment w:val="baseline"/>
        <w:rPr>
          <w:b/>
          <w:color w:val="000000"/>
          <w:sz w:val="28"/>
          <w:szCs w:val="28"/>
          <w:lang w:val="kk-KZ"/>
        </w:rPr>
      </w:pPr>
      <w:r w:rsidRPr="00B82D00">
        <w:rPr>
          <w:b/>
          <w:color w:val="000000"/>
          <w:sz w:val="28"/>
          <w:szCs w:val="28"/>
          <w:lang w:val="kk-KZ"/>
        </w:rPr>
        <w:t>Конкурс қатысушыларына қойылатын жалпы біліктілік талаптар</w:t>
      </w:r>
    </w:p>
    <w:p w14:paraId="1F7F32CE" w14:textId="77777777" w:rsidR="00AA1FBE" w:rsidRDefault="00AA1FBE" w:rsidP="00AA1FBE">
      <w:pPr>
        <w:shd w:val="clear" w:color="auto" w:fill="FFFFFF"/>
        <w:spacing w:after="360" w:line="285" w:lineRule="atLeast"/>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i/>
          <w:color w:val="1E1E1E"/>
          <w:sz w:val="28"/>
          <w:szCs w:val="28"/>
          <w:u w:val="single"/>
          <w:lang w:val="kk-KZ" w:eastAsia="ru-RU"/>
        </w:rPr>
        <w:t>(б</w:t>
      </w:r>
      <w:r w:rsidRPr="00295B8B">
        <w:rPr>
          <w:rFonts w:ascii="Times New Roman" w:eastAsia="Times New Roman" w:hAnsi="Times New Roman"/>
          <w:i/>
          <w:color w:val="1E1E1E"/>
          <w:sz w:val="28"/>
          <w:szCs w:val="28"/>
          <w:u w:val="single"/>
          <w:lang w:val="kk-KZ" w:eastAsia="ru-RU"/>
        </w:rPr>
        <w:t>ілім беру ұйымының педагог-ассистенті</w:t>
      </w:r>
      <w:r>
        <w:rPr>
          <w:rFonts w:ascii="Times New Roman" w:eastAsia="Times New Roman" w:hAnsi="Times New Roman"/>
          <w:i/>
          <w:color w:val="1E1E1E"/>
          <w:sz w:val="28"/>
          <w:szCs w:val="28"/>
          <w:u w:val="single"/>
          <w:lang w:val="kk-KZ" w:eastAsia="ru-RU"/>
        </w:rPr>
        <w:t>):</w:t>
      </w:r>
      <w:r w:rsidRPr="00E96F59">
        <w:rPr>
          <w:rFonts w:ascii="Times New Roman" w:eastAsia="Times New Roman" w:hAnsi="Times New Roman"/>
          <w:color w:val="000000"/>
          <w:spacing w:val="2"/>
          <w:sz w:val="24"/>
          <w:szCs w:val="24"/>
          <w:lang w:val="kk-KZ" w:eastAsia="ru-RU"/>
        </w:rPr>
        <w:t xml:space="preserve"> </w:t>
      </w:r>
      <w:r w:rsidRPr="00295B8B">
        <w:rPr>
          <w:rFonts w:ascii="Times New Roman" w:eastAsia="Times New Roman" w:hAnsi="Times New Roman"/>
          <w:color w:val="000000"/>
          <w:spacing w:val="2"/>
          <w:sz w:val="28"/>
          <w:szCs w:val="28"/>
          <w:lang w:val="kk-KZ" w:eastAsia="ru-RU"/>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r w:rsidRPr="00E96F59">
        <w:rPr>
          <w:rFonts w:ascii="Times New Roman" w:eastAsia="Times New Roman" w:hAnsi="Times New Roman"/>
          <w:color w:val="000000"/>
          <w:spacing w:val="2"/>
          <w:sz w:val="28"/>
          <w:szCs w:val="28"/>
          <w:lang w:val="kk-KZ" w:eastAsia="ru-RU"/>
        </w:rPr>
        <w:t xml:space="preserve"> ж</w:t>
      </w:r>
      <w:r w:rsidRPr="00295B8B">
        <w:rPr>
          <w:rFonts w:ascii="Times New Roman" w:eastAsia="Times New Roman" w:hAnsi="Times New Roman"/>
          <w:color w:val="000000"/>
          <w:spacing w:val="2"/>
          <w:sz w:val="28"/>
          <w:szCs w:val="28"/>
          <w:lang w:val="kk-KZ" w:eastAsia="ru-RU"/>
        </w:rPr>
        <w:t>әне (немесе) біліктілігінің жоғары деңгейі болған кезде педагог-шебер үшін мамандығы бойынша жұмыс өтілі – 5 жыл.</w:t>
      </w:r>
    </w:p>
    <w:p w14:paraId="6DCCBA10" w14:textId="77777777" w:rsidR="00AA1FBE" w:rsidRPr="00E96F59" w:rsidRDefault="00AA1FBE" w:rsidP="00AA1FBE">
      <w:pPr>
        <w:shd w:val="clear" w:color="auto" w:fill="FFFFFF"/>
        <w:spacing w:after="360" w:line="285" w:lineRule="atLeast"/>
        <w:textAlignment w:val="baseline"/>
        <w:rPr>
          <w:rFonts w:ascii="Times New Roman" w:eastAsia="Times New Roman" w:hAnsi="Times New Roman"/>
          <w:color w:val="000000"/>
          <w:spacing w:val="2"/>
          <w:sz w:val="28"/>
          <w:szCs w:val="28"/>
          <w:lang w:val="kk-KZ" w:eastAsia="ru-RU"/>
        </w:rPr>
      </w:pPr>
      <w:r w:rsidRPr="00295B8B">
        <w:rPr>
          <w:rFonts w:ascii="Times New Roman" w:eastAsia="Times New Roman" w:hAnsi="Times New Roman"/>
          <w:b/>
          <w:color w:val="000000"/>
          <w:spacing w:val="2"/>
          <w:sz w:val="28"/>
          <w:szCs w:val="28"/>
          <w:lang w:val="kk-KZ" w:eastAsia="ru-RU"/>
        </w:rPr>
        <w:t>Лауазымдық міндеттері:</w:t>
      </w:r>
      <w:r w:rsidRPr="00E96F59">
        <w:rPr>
          <w:rFonts w:ascii="Times New Roman" w:eastAsia="Times New Roman" w:hAnsi="Times New Roman"/>
          <w:b/>
          <w:color w:val="000000"/>
          <w:spacing w:val="2"/>
          <w:sz w:val="28"/>
          <w:szCs w:val="28"/>
          <w:lang w:val="kk-KZ" w:eastAsia="ru-RU"/>
        </w:rPr>
        <w:t xml:space="preserve"> </w:t>
      </w:r>
      <w:r>
        <w:rPr>
          <w:rFonts w:ascii="Times New Roman" w:eastAsia="Times New Roman" w:hAnsi="Times New Roman"/>
          <w:i/>
          <w:color w:val="1E1E1E"/>
          <w:sz w:val="28"/>
          <w:szCs w:val="28"/>
          <w:u w:val="single"/>
          <w:lang w:val="kk-KZ" w:eastAsia="ru-RU"/>
        </w:rPr>
        <w:t>(б</w:t>
      </w:r>
      <w:r w:rsidRPr="00295B8B">
        <w:rPr>
          <w:rFonts w:ascii="Times New Roman" w:eastAsia="Times New Roman" w:hAnsi="Times New Roman"/>
          <w:i/>
          <w:color w:val="1E1E1E"/>
          <w:sz w:val="28"/>
          <w:szCs w:val="28"/>
          <w:u w:val="single"/>
          <w:lang w:val="kk-KZ" w:eastAsia="ru-RU"/>
        </w:rPr>
        <w:t>ілім беру ұйымының педагог-ассистенті</w:t>
      </w:r>
      <w:r>
        <w:rPr>
          <w:rFonts w:ascii="Times New Roman" w:eastAsia="Times New Roman" w:hAnsi="Times New Roman"/>
          <w:i/>
          <w:color w:val="1E1E1E"/>
          <w:sz w:val="28"/>
          <w:szCs w:val="28"/>
          <w:u w:val="single"/>
          <w:lang w:val="kk-KZ" w:eastAsia="ru-RU"/>
        </w:rPr>
        <w:t>):</w:t>
      </w:r>
      <w:r w:rsidRPr="00E96F59">
        <w:rPr>
          <w:rFonts w:ascii="Times New Roman" w:eastAsia="Times New Roman" w:hAnsi="Times New Roman"/>
          <w:color w:val="000000"/>
          <w:spacing w:val="2"/>
          <w:sz w:val="24"/>
          <w:szCs w:val="24"/>
          <w:lang w:val="kk-KZ" w:eastAsia="ru-RU"/>
        </w:rPr>
        <w:t xml:space="preserve"> </w:t>
      </w:r>
      <w:r w:rsidRPr="00295B8B">
        <w:rPr>
          <w:rFonts w:ascii="Times New Roman" w:eastAsia="Times New Roman" w:hAnsi="Times New Roman"/>
          <w:color w:val="000000"/>
          <w:spacing w:val="2"/>
          <w:sz w:val="28"/>
          <w:szCs w:val="28"/>
          <w:lang w:val="kk-KZ" w:eastAsia="ru-RU"/>
        </w:rPr>
        <w:t>психологиялық-медициналық-педагогикалық консультацияның ұсынымы бойынша ерекше білім берілуіне қажеттілігі бар баланы психологиялық-</w:t>
      </w:r>
      <w:r w:rsidRPr="00295B8B">
        <w:rPr>
          <w:rFonts w:ascii="Times New Roman" w:eastAsia="Times New Roman" w:hAnsi="Times New Roman"/>
          <w:color w:val="000000"/>
          <w:spacing w:val="2"/>
          <w:sz w:val="28"/>
          <w:szCs w:val="28"/>
          <w:lang w:val="kk-KZ" w:eastAsia="ru-RU"/>
        </w:rPr>
        <w:lastRenderedPageBreak/>
        <w:t>педагогикалық сүйемелдеуді жүзеге асырады;</w:t>
      </w:r>
      <w:r w:rsidRPr="00E96F59">
        <w:rPr>
          <w:rFonts w:ascii="Times New Roman" w:eastAsia="Times New Roman" w:hAnsi="Times New Roman"/>
          <w:color w:val="000000"/>
          <w:spacing w:val="2"/>
          <w:sz w:val="28"/>
          <w:szCs w:val="28"/>
          <w:lang w:val="kk-KZ" w:eastAsia="ru-RU"/>
        </w:rPr>
        <w:t xml:space="preserve"> </w:t>
      </w:r>
      <w:r w:rsidRPr="00295B8B">
        <w:rPr>
          <w:rFonts w:ascii="Times New Roman" w:eastAsia="Times New Roman" w:hAnsi="Times New Roman"/>
          <w:color w:val="000000"/>
          <w:spacing w:val="2"/>
          <w:sz w:val="28"/>
          <w:szCs w:val="28"/>
          <w:lang w:val="kk-KZ" w:eastAsia="ru-RU"/>
        </w:rPr>
        <w:t>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r w:rsidRPr="00E96F59">
        <w:rPr>
          <w:rFonts w:ascii="Times New Roman" w:eastAsia="Times New Roman" w:hAnsi="Times New Roman"/>
          <w:color w:val="000000"/>
          <w:spacing w:val="2"/>
          <w:sz w:val="28"/>
          <w:szCs w:val="28"/>
          <w:lang w:val="kk-KZ" w:eastAsia="ru-RU"/>
        </w:rPr>
        <w:t xml:space="preserve"> </w:t>
      </w:r>
      <w:r w:rsidRPr="00295B8B">
        <w:rPr>
          <w:rFonts w:ascii="Times New Roman" w:eastAsia="Times New Roman" w:hAnsi="Times New Roman"/>
          <w:color w:val="000000"/>
          <w:spacing w:val="2"/>
          <w:sz w:val="28"/>
          <w:szCs w:val="28"/>
          <w:lang w:val="kk-KZ" w:eastAsia="ru-RU"/>
        </w:rPr>
        <w:t>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r w:rsidRPr="00E96F59">
        <w:rPr>
          <w:rFonts w:ascii="Times New Roman" w:eastAsia="Times New Roman" w:hAnsi="Times New Roman"/>
          <w:color w:val="000000"/>
          <w:spacing w:val="2"/>
          <w:sz w:val="28"/>
          <w:szCs w:val="28"/>
          <w:lang w:val="kk-KZ" w:eastAsia="ru-RU"/>
        </w:rPr>
        <w:t xml:space="preserve"> </w:t>
      </w:r>
      <w:r w:rsidRPr="00295B8B">
        <w:rPr>
          <w:rFonts w:ascii="Times New Roman" w:eastAsia="Times New Roman" w:hAnsi="Times New Roman"/>
          <w:color w:val="000000"/>
          <w:spacing w:val="2"/>
          <w:sz w:val="28"/>
          <w:szCs w:val="28"/>
          <w:lang w:val="kk-KZ" w:eastAsia="ru-RU"/>
        </w:rPr>
        <w:t>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r w:rsidRPr="00E96F59">
        <w:rPr>
          <w:rFonts w:ascii="Times New Roman" w:eastAsia="Times New Roman" w:hAnsi="Times New Roman"/>
          <w:color w:val="000000"/>
          <w:spacing w:val="2"/>
          <w:sz w:val="28"/>
          <w:szCs w:val="28"/>
          <w:lang w:val="kk-KZ" w:eastAsia="ru-RU"/>
        </w:rPr>
        <w:t xml:space="preserve"> </w:t>
      </w:r>
      <w:r w:rsidRPr="00295B8B">
        <w:rPr>
          <w:rFonts w:ascii="Times New Roman" w:eastAsia="Times New Roman" w:hAnsi="Times New Roman"/>
          <w:color w:val="000000"/>
          <w:spacing w:val="2"/>
          <w:sz w:val="28"/>
          <w:szCs w:val="28"/>
          <w:lang w:val="kk-KZ" w:eastAsia="ru-RU"/>
        </w:rPr>
        <w:t>ерекше білім беру қажеттіліктері бар баланың өмір сүру қауіпсіздігі мен денсаулығының қажетті жағдайларын сақтайды;</w:t>
      </w:r>
      <w:r w:rsidRPr="00E96F59">
        <w:rPr>
          <w:rFonts w:ascii="Times New Roman" w:eastAsia="Times New Roman" w:hAnsi="Times New Roman"/>
          <w:color w:val="000000"/>
          <w:spacing w:val="2"/>
          <w:sz w:val="28"/>
          <w:szCs w:val="28"/>
          <w:lang w:val="kk-KZ" w:eastAsia="ru-RU"/>
        </w:rPr>
        <w:t xml:space="preserve"> </w:t>
      </w:r>
      <w:r w:rsidRPr="00295B8B">
        <w:rPr>
          <w:rFonts w:ascii="Times New Roman" w:eastAsia="Times New Roman" w:hAnsi="Times New Roman"/>
          <w:color w:val="000000"/>
          <w:spacing w:val="2"/>
          <w:sz w:val="28"/>
          <w:szCs w:val="28"/>
          <w:lang w:val="kk-KZ" w:eastAsia="ru-RU"/>
        </w:rPr>
        <w:t>белгіленген нысан бойынша есептік құжаттаманы жүргізеді.</w:t>
      </w:r>
    </w:p>
    <w:p w14:paraId="620ADE9D" w14:textId="77777777" w:rsidR="00AA1FBE" w:rsidRDefault="00AA1FBE" w:rsidP="00AA1FBE">
      <w:pPr>
        <w:shd w:val="clear" w:color="auto" w:fill="FFFFFF"/>
        <w:spacing w:after="360" w:line="285" w:lineRule="atLeast"/>
        <w:textAlignment w:val="baseline"/>
        <w:rPr>
          <w:rFonts w:ascii="Times New Roman" w:eastAsia="Times New Roman" w:hAnsi="Times New Roman"/>
          <w:color w:val="000000"/>
          <w:spacing w:val="2"/>
          <w:sz w:val="28"/>
          <w:szCs w:val="28"/>
          <w:lang w:val="kk-KZ" w:eastAsia="ru-RU"/>
        </w:rPr>
      </w:pPr>
      <w:bookmarkStart w:id="1" w:name="_Hlk175645554"/>
      <w:r w:rsidRPr="00E96F59">
        <w:rPr>
          <w:rStyle w:val="15"/>
          <w:b/>
          <w:sz w:val="28"/>
          <w:szCs w:val="28"/>
          <w:lang w:val="kk-KZ"/>
        </w:rPr>
        <w:t xml:space="preserve">Білуге міндетті: </w:t>
      </w:r>
      <w:r w:rsidRPr="00E96F59">
        <w:rPr>
          <w:rFonts w:ascii="Times New Roman" w:eastAsia="Times New Roman" w:hAnsi="Times New Roman"/>
          <w:i/>
          <w:color w:val="1E1E1E"/>
          <w:sz w:val="28"/>
          <w:szCs w:val="28"/>
          <w:u w:val="single"/>
          <w:lang w:val="kk-KZ" w:eastAsia="ru-RU"/>
        </w:rPr>
        <w:t>(б</w:t>
      </w:r>
      <w:r w:rsidRPr="00295B8B">
        <w:rPr>
          <w:rFonts w:ascii="Times New Roman" w:eastAsia="Times New Roman" w:hAnsi="Times New Roman"/>
          <w:i/>
          <w:color w:val="1E1E1E"/>
          <w:sz w:val="28"/>
          <w:szCs w:val="28"/>
          <w:u w:val="single"/>
          <w:lang w:val="kk-KZ" w:eastAsia="ru-RU"/>
        </w:rPr>
        <w:t>ілім беру ұйымының педагог-ассистенті</w:t>
      </w:r>
      <w:r w:rsidRPr="00E96F59">
        <w:rPr>
          <w:rFonts w:ascii="Times New Roman" w:eastAsia="Times New Roman" w:hAnsi="Times New Roman"/>
          <w:i/>
          <w:color w:val="1E1E1E"/>
          <w:sz w:val="28"/>
          <w:szCs w:val="28"/>
          <w:u w:val="single"/>
          <w:lang w:val="kk-KZ" w:eastAsia="ru-RU"/>
        </w:rPr>
        <w:t>):</w:t>
      </w:r>
      <w:r w:rsidRPr="00E96F59">
        <w:rPr>
          <w:rFonts w:ascii="Times New Roman" w:eastAsia="Times New Roman" w:hAnsi="Times New Roman"/>
          <w:color w:val="000000"/>
          <w:spacing w:val="2"/>
          <w:sz w:val="28"/>
          <w:szCs w:val="28"/>
          <w:lang w:val="kk-KZ" w:eastAsia="ru-RU"/>
        </w:rPr>
        <w:t xml:space="preserve"> </w:t>
      </w:r>
      <w:r w:rsidRPr="00295B8B">
        <w:rPr>
          <w:rFonts w:ascii="Times New Roman" w:eastAsia="Times New Roman" w:hAnsi="Times New Roman"/>
          <w:color w:val="000000"/>
          <w:spacing w:val="2"/>
          <w:sz w:val="28"/>
          <w:szCs w:val="28"/>
          <w:lang w:val="kk-KZ" w:eastAsia="ru-RU"/>
        </w:rPr>
        <w:t>Қазақстан Республикасының </w:t>
      </w:r>
      <w:hyperlink r:id="rId6" w:anchor="z1" w:history="1">
        <w:r w:rsidRPr="00E96F59">
          <w:rPr>
            <w:rFonts w:ascii="Times New Roman" w:eastAsia="Times New Roman" w:hAnsi="Times New Roman"/>
            <w:color w:val="073A5E"/>
            <w:spacing w:val="2"/>
            <w:sz w:val="28"/>
            <w:szCs w:val="28"/>
            <w:u w:val="single"/>
            <w:lang w:val="kk-KZ" w:eastAsia="ru-RU"/>
          </w:rPr>
          <w:t>Конституциясын</w:t>
        </w:r>
      </w:hyperlink>
      <w:r w:rsidRPr="00295B8B">
        <w:rPr>
          <w:rFonts w:ascii="Times New Roman" w:eastAsia="Times New Roman" w:hAnsi="Times New Roman"/>
          <w:color w:val="000000"/>
          <w:spacing w:val="2"/>
          <w:sz w:val="28"/>
          <w:szCs w:val="28"/>
          <w:lang w:val="kk-KZ" w:eastAsia="ru-RU"/>
        </w:rPr>
        <w:t>, "Бала құқықтары туралы конвенцияны", Қазақстан Республикасының "</w:t>
      </w:r>
      <w:hyperlink r:id="rId7" w:anchor="z1" w:history="1">
        <w:r w:rsidRPr="00E96F59">
          <w:rPr>
            <w:rFonts w:ascii="Times New Roman" w:eastAsia="Times New Roman" w:hAnsi="Times New Roman"/>
            <w:color w:val="073A5E"/>
            <w:spacing w:val="2"/>
            <w:sz w:val="28"/>
            <w:szCs w:val="28"/>
            <w:u w:val="single"/>
            <w:lang w:val="kk-KZ" w:eastAsia="ru-RU"/>
          </w:rPr>
          <w:t>Білім туралы</w:t>
        </w:r>
      </w:hyperlink>
      <w:r w:rsidRPr="00295B8B">
        <w:rPr>
          <w:rFonts w:ascii="Times New Roman" w:eastAsia="Times New Roman" w:hAnsi="Times New Roman"/>
          <w:color w:val="000000"/>
          <w:spacing w:val="2"/>
          <w:sz w:val="28"/>
          <w:szCs w:val="28"/>
          <w:lang w:val="kk-KZ" w:eastAsia="ru-RU"/>
        </w:rPr>
        <w:t>", "</w:t>
      </w:r>
      <w:hyperlink r:id="rId8" w:anchor="z2" w:history="1">
        <w:r w:rsidRPr="00E96F59">
          <w:rPr>
            <w:rFonts w:ascii="Times New Roman" w:eastAsia="Times New Roman" w:hAnsi="Times New Roman"/>
            <w:color w:val="073A5E"/>
            <w:spacing w:val="2"/>
            <w:sz w:val="28"/>
            <w:szCs w:val="28"/>
            <w:u w:val="single"/>
            <w:lang w:val="kk-KZ" w:eastAsia="ru-RU"/>
          </w:rPr>
          <w:t>Қазақстан Республикасындағы Баланың құқықтары туралы</w:t>
        </w:r>
      </w:hyperlink>
      <w:r w:rsidRPr="00295B8B">
        <w:rPr>
          <w:rFonts w:ascii="Times New Roman" w:eastAsia="Times New Roman" w:hAnsi="Times New Roman"/>
          <w:color w:val="000000"/>
          <w:spacing w:val="2"/>
          <w:sz w:val="28"/>
          <w:szCs w:val="28"/>
          <w:lang w:val="kk-KZ" w:eastAsia="ru-RU"/>
        </w:rPr>
        <w:t>", "</w:t>
      </w:r>
      <w:hyperlink r:id="rId9" w:anchor="z3" w:history="1">
        <w:r w:rsidRPr="00E96F59">
          <w:rPr>
            <w:rFonts w:ascii="Times New Roman" w:eastAsia="Times New Roman" w:hAnsi="Times New Roman"/>
            <w:color w:val="073A5E"/>
            <w:spacing w:val="2"/>
            <w:sz w:val="28"/>
            <w:szCs w:val="28"/>
            <w:u w:val="single"/>
            <w:lang w:val="kk-KZ" w:eastAsia="ru-RU"/>
          </w:rPr>
          <w:t>арнаулы әлеуметтік қызметтер туралы</w:t>
        </w:r>
      </w:hyperlink>
      <w:r w:rsidRPr="00295B8B">
        <w:rPr>
          <w:rFonts w:ascii="Times New Roman" w:eastAsia="Times New Roman" w:hAnsi="Times New Roman"/>
          <w:color w:val="000000"/>
          <w:spacing w:val="2"/>
          <w:sz w:val="28"/>
          <w:szCs w:val="28"/>
          <w:lang w:val="kk-KZ" w:eastAsia="ru-RU"/>
        </w:rPr>
        <w:t>", "</w:t>
      </w:r>
      <w:hyperlink r:id="rId10" w:anchor="z1" w:history="1">
        <w:r w:rsidRPr="00E96F59">
          <w:rPr>
            <w:rFonts w:ascii="Times New Roman" w:eastAsia="Times New Roman" w:hAnsi="Times New Roman"/>
            <w:color w:val="073A5E"/>
            <w:spacing w:val="2"/>
            <w:sz w:val="28"/>
            <w:szCs w:val="28"/>
            <w:u w:val="single"/>
            <w:lang w:val="kk-KZ" w:eastAsia="ru-RU"/>
          </w:rPr>
          <w:t>Кемтар балаларды әлеуметтік медициналық-педагогикалық және түзеу арқылы қолдау туралы</w:t>
        </w:r>
      </w:hyperlink>
      <w:r w:rsidRPr="00295B8B">
        <w:rPr>
          <w:rFonts w:ascii="Times New Roman" w:eastAsia="Times New Roman" w:hAnsi="Times New Roman"/>
          <w:color w:val="000000"/>
          <w:spacing w:val="2"/>
          <w:sz w:val="28"/>
          <w:szCs w:val="28"/>
          <w:lang w:val="kk-KZ" w:eastAsia="ru-RU"/>
        </w:rPr>
        <w:t>", "</w:t>
      </w:r>
      <w:hyperlink r:id="rId11" w:anchor="z1" w:history="1">
        <w:r w:rsidRPr="00E96F59">
          <w:rPr>
            <w:rFonts w:ascii="Times New Roman" w:eastAsia="Times New Roman" w:hAnsi="Times New Roman"/>
            <w:color w:val="073A5E"/>
            <w:spacing w:val="2"/>
            <w:sz w:val="28"/>
            <w:szCs w:val="28"/>
            <w:u w:val="single"/>
            <w:lang w:val="kk-KZ" w:eastAsia="ru-RU"/>
          </w:rPr>
          <w:t>Сыбайлас жемқорлыққа қарсы іс-қимыл туралы</w:t>
        </w:r>
      </w:hyperlink>
      <w:r w:rsidRPr="00295B8B">
        <w:rPr>
          <w:rFonts w:ascii="Times New Roman" w:eastAsia="Times New Roman" w:hAnsi="Times New Roman"/>
          <w:color w:val="000000"/>
          <w:spacing w:val="2"/>
          <w:sz w:val="28"/>
          <w:szCs w:val="28"/>
          <w:lang w:val="kk-KZ" w:eastAsia="ru-RU"/>
        </w:rPr>
        <w:t>", "</w:t>
      </w:r>
      <w:hyperlink r:id="rId12" w:anchor="z2" w:history="1">
        <w:r w:rsidRPr="00E96F59">
          <w:rPr>
            <w:rFonts w:ascii="Times New Roman" w:eastAsia="Times New Roman" w:hAnsi="Times New Roman"/>
            <w:color w:val="073A5E"/>
            <w:spacing w:val="2"/>
            <w:sz w:val="28"/>
            <w:szCs w:val="28"/>
            <w:u w:val="single"/>
            <w:lang w:val="kk-KZ" w:eastAsia="ru-RU"/>
          </w:rPr>
          <w:t>Қазақстан Республикасындағы тіл туралы</w:t>
        </w:r>
      </w:hyperlink>
      <w:r w:rsidRPr="00295B8B">
        <w:rPr>
          <w:rFonts w:ascii="Times New Roman" w:eastAsia="Times New Roman" w:hAnsi="Times New Roman"/>
          <w:color w:val="000000"/>
          <w:spacing w:val="2"/>
          <w:sz w:val="28"/>
          <w:szCs w:val="28"/>
          <w:lang w:val="kk-KZ" w:eastAsia="ru-RU"/>
        </w:rPr>
        <w:t>" Заңдарын және Қазақстан Республикасының білім беруді дамытудың бағыттары мен перспективаларын айқындайтын өзге де нормативтік құқықтық а</w:t>
      </w:r>
      <w:r w:rsidRPr="00E96F59">
        <w:rPr>
          <w:rFonts w:ascii="Times New Roman" w:eastAsia="Times New Roman" w:hAnsi="Times New Roman"/>
          <w:color w:val="000000"/>
          <w:spacing w:val="2"/>
          <w:sz w:val="28"/>
          <w:szCs w:val="28"/>
          <w:lang w:val="kk-KZ" w:eastAsia="ru-RU"/>
        </w:rPr>
        <w:t xml:space="preserve">ктілерін; </w:t>
      </w:r>
      <w:r w:rsidRPr="00295B8B">
        <w:rPr>
          <w:rFonts w:ascii="Times New Roman" w:eastAsia="Times New Roman" w:hAnsi="Times New Roman"/>
          <w:color w:val="000000"/>
          <w:spacing w:val="2"/>
          <w:sz w:val="28"/>
          <w:szCs w:val="28"/>
          <w:lang w:val="kk-KZ" w:eastAsia="ru-RU"/>
        </w:rPr>
        <w:t>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r w:rsidRPr="00E96F59">
        <w:rPr>
          <w:rFonts w:ascii="Times New Roman" w:eastAsia="Times New Roman" w:hAnsi="Times New Roman"/>
          <w:color w:val="000000"/>
          <w:spacing w:val="2"/>
          <w:sz w:val="28"/>
          <w:szCs w:val="28"/>
          <w:lang w:val="kk-KZ" w:eastAsia="ru-RU"/>
        </w:rPr>
        <w:t xml:space="preserve"> </w:t>
      </w:r>
      <w:r w:rsidRPr="00295B8B">
        <w:rPr>
          <w:rFonts w:ascii="Times New Roman" w:eastAsia="Times New Roman" w:hAnsi="Times New Roman"/>
          <w:color w:val="000000"/>
          <w:spacing w:val="2"/>
          <w:sz w:val="28"/>
          <w:szCs w:val="28"/>
          <w:lang w:val="kk-KZ" w:eastAsia="ru-RU"/>
        </w:rPr>
        <w:t>педагогикалық этиканың нормалары;</w:t>
      </w:r>
      <w:r w:rsidRPr="00E96F59">
        <w:rPr>
          <w:rFonts w:ascii="Times New Roman" w:eastAsia="Times New Roman" w:hAnsi="Times New Roman"/>
          <w:color w:val="000000"/>
          <w:spacing w:val="2"/>
          <w:sz w:val="28"/>
          <w:szCs w:val="28"/>
          <w:lang w:val="kk-KZ" w:eastAsia="ru-RU"/>
        </w:rPr>
        <w:t xml:space="preserve"> </w:t>
      </w:r>
      <w:r w:rsidRPr="00295B8B">
        <w:rPr>
          <w:rFonts w:ascii="Times New Roman" w:eastAsia="Times New Roman" w:hAnsi="Times New Roman"/>
          <w:color w:val="000000"/>
          <w:spacing w:val="2"/>
          <w:sz w:val="28"/>
          <w:szCs w:val="28"/>
          <w:lang w:val="kk-KZ" w:eastAsia="ru-RU"/>
        </w:rPr>
        <w:t>еңбек заңнамасының негіздері, еңбек қауіпсіздігі және еңбекті қорғау, өртке қарсы қорғау қағидалары, санитариялық қағидалар.</w:t>
      </w:r>
    </w:p>
    <w:p w14:paraId="560B0EF7" w14:textId="77777777" w:rsidR="00AA1FBE" w:rsidRPr="006B0D5D" w:rsidRDefault="00AA1FBE" w:rsidP="00AA1FBE">
      <w:pPr>
        <w:pStyle w:val="1"/>
        <w:spacing w:before="0" w:line="240" w:lineRule="auto"/>
        <w:jc w:val="both"/>
        <w:textAlignment w:val="baseline"/>
        <w:rPr>
          <w:rFonts w:ascii="Times New Roman" w:hAnsi="Times New Roman"/>
          <w:sz w:val="28"/>
          <w:szCs w:val="28"/>
          <w:shd w:val="clear" w:color="auto" w:fill="F4F5F6"/>
          <w:lang w:val="kk-KZ"/>
        </w:rPr>
      </w:pPr>
      <w:r w:rsidRPr="006B0D5D">
        <w:rPr>
          <w:rFonts w:ascii="Times New Roman" w:hAnsi="Times New Roman"/>
          <w:spacing w:val="2"/>
          <w:sz w:val="28"/>
          <w:szCs w:val="28"/>
          <w:lang w:val="kk-KZ"/>
        </w:rPr>
        <w:t>Келесі құжаттар қағаз түрінде</w:t>
      </w:r>
      <w:r>
        <w:rPr>
          <w:rFonts w:ascii="Times New Roman" w:hAnsi="Times New Roman"/>
          <w:spacing w:val="2"/>
          <w:sz w:val="28"/>
          <w:szCs w:val="28"/>
          <w:lang w:val="kk-KZ"/>
        </w:rPr>
        <w:t xml:space="preserve"> қабылданады</w:t>
      </w:r>
      <w:r w:rsidRPr="006B0D5D">
        <w:rPr>
          <w:rFonts w:ascii="Times New Roman" w:hAnsi="Times New Roman"/>
          <w:spacing w:val="2"/>
          <w:sz w:val="28"/>
          <w:szCs w:val="28"/>
          <w:lang w:val="kk-KZ"/>
        </w:rPr>
        <w:t>:</w:t>
      </w:r>
    </w:p>
    <w:bookmarkEnd w:id="1"/>
    <w:p w14:paraId="5818B2F3"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4695FE13"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2) жеке басын куәландыратын құжат не цифрлық құжаттар сервисінен алынған электрондық құжат (сәйкестендіру үшін); </w:t>
      </w:r>
    </w:p>
    <w:p w14:paraId="03410B07"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150C323"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lastRenderedPageBreak/>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25B0D61"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5) еңбек қызметін растайтын құжаттың көшірмесі (бар болса); </w:t>
      </w:r>
    </w:p>
    <w:p w14:paraId="3A1D0FCA"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7F39227"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7) психикалық, мінез-құлықтық бұзылушылықтары бар аурудың динамикалық бақылауда жоқтығы туралы анықтама; </w:t>
      </w:r>
    </w:p>
    <w:p w14:paraId="263A8683"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8) наркологиялық аурудың динамикалық бақылауда жоқтығы туралы анықтама; </w:t>
      </w:r>
    </w:p>
    <w:p w14:paraId="2E4706BD"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14:paraId="75DA4E82"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 </w:t>
      </w:r>
    </w:p>
    <w:p w14:paraId="5302C6DD"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11) осы Қағидаларға, сәйкес нысан бойынша педагогтің бос 12 13-қосымшаларға немесе уақытша бос лауазымына кандидаттың толтырылған бағалау парағы; </w:t>
      </w:r>
    </w:p>
    <w:p w14:paraId="2C93ED05" w14:textId="77777777" w:rsidR="00AC46AB" w:rsidRDefault="00AC46AB" w:rsidP="00AC46AB">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12) жұмыс орнынан (педагог лауазымы бойынша), оқу орнынан ұсыным хат</w:t>
      </w:r>
    </w:p>
    <w:p w14:paraId="41F89F66" w14:textId="77777777" w:rsidR="00AC46AB" w:rsidRPr="006B0D5D" w:rsidRDefault="00AC46AB" w:rsidP="00AC46AB">
      <w:pPr>
        <w:pStyle w:val="a6"/>
        <w:shd w:val="clear" w:color="auto" w:fill="FFFFFF"/>
        <w:spacing w:before="0" w:beforeAutospacing="0" w:after="0" w:afterAutospacing="0"/>
        <w:textAlignment w:val="baseline"/>
        <w:rPr>
          <w:color w:val="000000"/>
          <w:spacing w:val="2"/>
          <w:sz w:val="28"/>
          <w:szCs w:val="28"/>
          <w:shd w:val="clear" w:color="auto" w:fill="FFFFFF"/>
          <w:lang w:val="kk-KZ"/>
        </w:rPr>
      </w:pPr>
    </w:p>
    <w:p w14:paraId="7A07E9F0" w14:textId="77777777" w:rsidR="00AC46AB" w:rsidRDefault="00AC46AB" w:rsidP="00AC46AB">
      <w:pPr>
        <w:pStyle w:val="a6"/>
        <w:shd w:val="clear" w:color="auto" w:fill="FFFFFF"/>
        <w:spacing w:before="0" w:beforeAutospacing="0" w:after="0" w:afterAutospacing="0"/>
        <w:jc w:val="both"/>
        <w:textAlignment w:val="baseline"/>
        <w:rPr>
          <w:color w:val="000000"/>
          <w:spacing w:val="2"/>
          <w:sz w:val="28"/>
          <w:szCs w:val="28"/>
          <w:lang w:val="kk-KZ"/>
        </w:rPr>
      </w:pPr>
      <w:r w:rsidRPr="006B0D5D">
        <w:rPr>
          <w:color w:val="000000"/>
          <w:spacing w:val="2"/>
          <w:sz w:val="28"/>
          <w:szCs w:val="28"/>
          <w:shd w:val="clear" w:color="auto" w:fill="FFFFFF"/>
          <w:lang w:val="kk-KZ"/>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w:t>
      </w:r>
      <w:r w:rsidRPr="0005267C">
        <w:rPr>
          <w:color w:val="000000"/>
          <w:spacing w:val="2"/>
          <w:sz w:val="28"/>
          <w:szCs w:val="28"/>
          <w:shd w:val="clear" w:color="auto" w:fill="FFFFFF"/>
          <w:lang w:val="kk-KZ"/>
        </w:rPr>
        <w:t xml:space="preserve"> жағдайда) қосымша ұсынады.</w:t>
      </w:r>
      <w:r w:rsidRPr="0005267C">
        <w:rPr>
          <w:color w:val="000000"/>
          <w:spacing w:val="2"/>
          <w:sz w:val="28"/>
          <w:szCs w:val="28"/>
          <w:lang w:val="kk-KZ"/>
        </w:rPr>
        <w:br/>
      </w:r>
      <w:r w:rsidRPr="0005267C">
        <w:rPr>
          <w:color w:val="000000"/>
          <w:spacing w:val="2"/>
          <w:sz w:val="28"/>
          <w:szCs w:val="28"/>
          <w:shd w:val="clear" w:color="auto" w:fill="FFFFFF"/>
          <w:lang w:val="kk-KZ"/>
        </w:rPr>
        <w:t>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r w:rsidRPr="0005267C">
        <w:rPr>
          <w:color w:val="000000"/>
          <w:spacing w:val="2"/>
          <w:sz w:val="28"/>
          <w:szCs w:val="28"/>
          <w:lang w:val="kk-KZ"/>
        </w:rPr>
        <w:t xml:space="preserve"> </w:t>
      </w:r>
    </w:p>
    <w:p w14:paraId="1CA68CE2" w14:textId="77777777" w:rsidR="00AC46AB" w:rsidRDefault="00AC46AB" w:rsidP="00AC46AB">
      <w:pPr>
        <w:pStyle w:val="a6"/>
        <w:shd w:val="clear" w:color="auto" w:fill="FFFFFF"/>
        <w:spacing w:before="0" w:beforeAutospacing="0" w:after="0" w:afterAutospacing="0"/>
        <w:jc w:val="both"/>
        <w:textAlignment w:val="baseline"/>
        <w:rPr>
          <w:color w:val="000000"/>
          <w:spacing w:val="2"/>
          <w:sz w:val="28"/>
          <w:szCs w:val="28"/>
          <w:lang w:val="kk-KZ"/>
        </w:rPr>
      </w:pPr>
    </w:p>
    <w:p w14:paraId="3C7774C5" w14:textId="77777777" w:rsidR="00AC46AB" w:rsidRPr="00B66920" w:rsidRDefault="00AC46AB" w:rsidP="00AC46AB">
      <w:pPr>
        <w:spacing w:after="0" w:line="240" w:lineRule="auto"/>
        <w:jc w:val="both"/>
        <w:rPr>
          <w:rFonts w:ascii="Times New Roman" w:eastAsia="Times New Roman" w:hAnsi="Times New Roman"/>
          <w:sz w:val="28"/>
          <w:szCs w:val="28"/>
          <w:lang w:val="kk-KZ" w:eastAsia="ru-RU"/>
        </w:rPr>
      </w:pPr>
      <w:r w:rsidRPr="00B66920">
        <w:rPr>
          <w:rFonts w:ascii="Times New Roman" w:hAnsi="Times New Roman"/>
          <w:b/>
          <w:color w:val="000000"/>
          <w:sz w:val="28"/>
          <w:szCs w:val="28"/>
          <w:lang w:val="kk-KZ"/>
        </w:rPr>
        <w:t xml:space="preserve">Конкурсты өткізу мекен жайы: </w:t>
      </w:r>
      <w:r w:rsidRPr="00B66920">
        <w:rPr>
          <w:rFonts w:ascii="Times New Roman" w:hAnsi="Times New Roman"/>
          <w:bCs/>
          <w:sz w:val="28"/>
          <w:szCs w:val="28"/>
          <w:lang w:val="kk-KZ"/>
        </w:rPr>
        <w:t xml:space="preserve">101600, </w:t>
      </w:r>
      <w:r w:rsidRPr="00B66920">
        <w:rPr>
          <w:rFonts w:ascii="Times New Roman" w:hAnsi="Times New Roman"/>
          <w:sz w:val="28"/>
          <w:szCs w:val="28"/>
          <w:lang w:val="kk-KZ"/>
        </w:rPr>
        <w:t>Қарағанды облысы, Шахтинск  қаласы,  Ленинградская көшесі, 52А құрылыс,</w:t>
      </w:r>
      <w:r w:rsidRPr="00B66920">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w:t>
      </w:r>
      <w:r w:rsidRPr="00B66920">
        <w:rPr>
          <w:rFonts w:ascii="Times New Roman" w:hAnsi="Times New Roman"/>
          <w:bCs/>
          <w:sz w:val="28"/>
          <w:szCs w:val="28"/>
          <w:lang w:val="kk-KZ"/>
        </w:rPr>
        <w:lastRenderedPageBreak/>
        <w:t xml:space="preserve">мектеп – лицейі»  коммуналдық мемлекеттік мекемесі, </w:t>
      </w:r>
      <w:r w:rsidRPr="00B66920">
        <w:rPr>
          <w:rFonts w:ascii="Times New Roman" w:hAnsi="Times New Roman"/>
          <w:sz w:val="28"/>
          <w:szCs w:val="28"/>
          <w:lang w:val="kk-KZ"/>
        </w:rPr>
        <w:t xml:space="preserve">телефон </w:t>
      </w:r>
      <w:r w:rsidRPr="00B66920">
        <w:rPr>
          <w:rFonts w:ascii="Times New Roman" w:eastAsia="Times New Roman" w:hAnsi="Times New Roman"/>
          <w:sz w:val="28"/>
          <w:szCs w:val="28"/>
          <w:lang w:val="kk-KZ" w:eastAsia="ru-RU"/>
        </w:rPr>
        <w:t xml:space="preserve">факс 8(72156) 23579,  E-mail: </w:t>
      </w:r>
      <w:hyperlink r:id="rId13" w:history="1">
        <w:r w:rsidRPr="00B66920">
          <w:rPr>
            <w:rStyle w:val="a5"/>
            <w:rFonts w:ascii="Times New Roman" w:hAnsi="Times New Roman"/>
            <w:sz w:val="28"/>
            <w:szCs w:val="28"/>
            <w:lang w:val="kk-KZ" w:eastAsia="ru-RU"/>
          </w:rPr>
          <w:t>shahtinsk</w:t>
        </w:r>
        <w:r w:rsidRPr="00B66920">
          <w:rPr>
            <w:rStyle w:val="a5"/>
            <w:rFonts w:ascii="Times New Roman" w:hAnsi="Times New Roman"/>
            <w:sz w:val="28"/>
            <w:szCs w:val="28"/>
            <w:lang w:val="kk-KZ" w:eastAsia="ru-RU"/>
          </w:rPr>
          <w:softHyphen/>
          <w:t>_shlic@krg.gov.kz</w:t>
        </w:r>
      </w:hyperlink>
      <w:r w:rsidRPr="00B66920">
        <w:rPr>
          <w:rFonts w:ascii="Times New Roman" w:eastAsia="Times New Roman" w:hAnsi="Times New Roman"/>
          <w:sz w:val="28"/>
          <w:szCs w:val="28"/>
          <w:lang w:val="kk-KZ" w:eastAsia="ru-RU"/>
        </w:rPr>
        <w:t>.</w:t>
      </w:r>
    </w:p>
    <w:p w14:paraId="4DC78C06" w14:textId="77777777" w:rsidR="00AC46AB" w:rsidRPr="00B66920" w:rsidRDefault="00AC46AB" w:rsidP="00AC46AB">
      <w:pPr>
        <w:spacing w:after="0" w:line="240" w:lineRule="auto"/>
        <w:ind w:firstLine="567"/>
        <w:jc w:val="both"/>
        <w:rPr>
          <w:rFonts w:ascii="Times New Roman" w:eastAsia="Times New Roman" w:hAnsi="Times New Roman"/>
          <w:sz w:val="28"/>
          <w:szCs w:val="28"/>
          <w:lang w:val="kk-KZ" w:eastAsia="ru-RU"/>
        </w:rPr>
      </w:pPr>
    </w:p>
    <w:p w14:paraId="04D478AB" w14:textId="77777777" w:rsidR="00AA1FBE" w:rsidRPr="006B0D5D" w:rsidRDefault="00AA1FBE" w:rsidP="00AA1FBE">
      <w:pPr>
        <w:spacing w:after="0" w:line="240" w:lineRule="auto"/>
        <w:jc w:val="both"/>
        <w:rPr>
          <w:rFonts w:ascii="Times New Roman" w:eastAsia="Times New Roman" w:hAnsi="Times New Roman"/>
          <w:color w:val="000000"/>
          <w:sz w:val="28"/>
          <w:szCs w:val="28"/>
          <w:lang w:val="kk-KZ" w:eastAsia="ru-RU"/>
        </w:rPr>
      </w:pPr>
      <w:r w:rsidRPr="006B0D5D">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6B0D5D">
        <w:rPr>
          <w:rFonts w:ascii="Times New Roman" w:eastAsia="Times New Roman" w:hAnsi="Times New Roman"/>
          <w:bCs/>
          <w:color w:val="000000"/>
          <w:sz w:val="28"/>
          <w:szCs w:val="28"/>
          <w:lang w:val="kk-KZ" w:eastAsia="ru-RU"/>
        </w:rPr>
        <w:t>Қ</w:t>
      </w:r>
      <w:r w:rsidRPr="006B0D5D">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6B0D5D">
        <w:rPr>
          <w:rFonts w:ascii="Times New Roman" w:eastAsia="Times New Roman" w:hAnsi="Times New Roman"/>
          <w:color w:val="000000"/>
          <w:sz w:val="28"/>
          <w:szCs w:val="28"/>
          <w:lang w:val="kk-KZ" w:eastAsia="ru-RU"/>
        </w:rPr>
        <w:t>.</w:t>
      </w:r>
    </w:p>
    <w:p w14:paraId="6625F7A9" w14:textId="77777777" w:rsidR="00AA1FBE" w:rsidRPr="006B0D5D" w:rsidRDefault="00AA1FBE" w:rsidP="00AA1FBE">
      <w:pPr>
        <w:spacing w:after="0" w:line="240" w:lineRule="auto"/>
        <w:jc w:val="both"/>
        <w:rPr>
          <w:rFonts w:ascii="Times New Roman" w:eastAsia="Times New Roman" w:hAnsi="Times New Roman"/>
          <w:sz w:val="28"/>
          <w:szCs w:val="28"/>
          <w:lang w:val="kk-KZ" w:eastAsia="ru-RU"/>
        </w:rPr>
      </w:pPr>
      <w:r w:rsidRPr="006B0D5D">
        <w:rPr>
          <w:rFonts w:ascii="Times New Roman" w:eastAsia="Times New Roman" w:hAnsi="Times New Roman"/>
          <w:b/>
          <w:sz w:val="28"/>
          <w:szCs w:val="28"/>
          <w:lang w:val="kk-KZ" w:eastAsia="ru-RU"/>
        </w:rPr>
        <w:t xml:space="preserve">Құжаттарды қабылдау басталған күн, уақыты: </w:t>
      </w:r>
      <w:r>
        <w:rPr>
          <w:rFonts w:ascii="Times New Roman" w:eastAsia="Times New Roman" w:hAnsi="Times New Roman"/>
          <w:b/>
          <w:sz w:val="28"/>
          <w:szCs w:val="28"/>
          <w:lang w:val="kk-KZ" w:eastAsia="ru-RU"/>
        </w:rPr>
        <w:t>1</w:t>
      </w:r>
      <w:r w:rsidR="00A26718">
        <w:rPr>
          <w:rFonts w:ascii="Times New Roman" w:eastAsia="Times New Roman" w:hAnsi="Times New Roman"/>
          <w:b/>
          <w:sz w:val="28"/>
          <w:szCs w:val="28"/>
          <w:lang w:val="kk-KZ" w:eastAsia="ru-RU"/>
        </w:rPr>
        <w:t>9</w:t>
      </w:r>
      <w:r w:rsidRPr="006B0D5D">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11</w:t>
      </w:r>
      <w:r w:rsidRPr="006B0D5D">
        <w:rPr>
          <w:rFonts w:ascii="Times New Roman" w:eastAsia="Times New Roman" w:hAnsi="Times New Roman"/>
          <w:b/>
          <w:sz w:val="28"/>
          <w:szCs w:val="28"/>
          <w:lang w:val="kk-KZ" w:eastAsia="ru-RU"/>
        </w:rPr>
        <w:t>.2025 ж., 09.00 сағ.</w:t>
      </w:r>
    </w:p>
    <w:p w14:paraId="599AE96E" w14:textId="77777777" w:rsidR="00AA1FBE" w:rsidRPr="00B66920" w:rsidRDefault="00AA1FBE" w:rsidP="00AA1FBE">
      <w:pPr>
        <w:spacing w:after="0" w:line="240" w:lineRule="auto"/>
        <w:jc w:val="both"/>
        <w:rPr>
          <w:rFonts w:ascii="Times New Roman" w:hAnsi="Times New Roman"/>
          <w:sz w:val="28"/>
          <w:szCs w:val="28"/>
          <w:lang w:val="kk-KZ"/>
        </w:rPr>
      </w:pPr>
      <w:r w:rsidRPr="006B0D5D">
        <w:rPr>
          <w:rFonts w:ascii="Times New Roman" w:eastAsia="Times New Roman" w:hAnsi="Times New Roman"/>
          <w:b/>
          <w:sz w:val="28"/>
          <w:szCs w:val="28"/>
          <w:lang w:val="kk-KZ" w:eastAsia="ru-RU"/>
        </w:rPr>
        <w:t xml:space="preserve">Құжаттарды қабылдау аяқталатын күн, уақыты: </w:t>
      </w:r>
      <w:r>
        <w:rPr>
          <w:rFonts w:ascii="Times New Roman" w:eastAsia="Times New Roman" w:hAnsi="Times New Roman"/>
          <w:b/>
          <w:sz w:val="28"/>
          <w:szCs w:val="28"/>
          <w:lang w:val="kk-KZ" w:eastAsia="ru-RU"/>
        </w:rPr>
        <w:t>2</w:t>
      </w:r>
      <w:r w:rsidR="00CD5E06" w:rsidRPr="00CD5E06">
        <w:rPr>
          <w:rFonts w:ascii="Times New Roman" w:eastAsia="Times New Roman" w:hAnsi="Times New Roman"/>
          <w:b/>
          <w:sz w:val="28"/>
          <w:szCs w:val="28"/>
          <w:lang w:val="kk-KZ" w:eastAsia="ru-RU"/>
        </w:rPr>
        <w:t>8</w:t>
      </w:r>
      <w:r w:rsidRPr="006B0D5D">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11</w:t>
      </w:r>
      <w:r w:rsidRPr="006B0D5D">
        <w:rPr>
          <w:rFonts w:ascii="Times New Roman" w:eastAsia="Times New Roman" w:hAnsi="Times New Roman"/>
          <w:b/>
          <w:sz w:val="28"/>
          <w:szCs w:val="28"/>
          <w:lang w:val="kk-KZ" w:eastAsia="ru-RU"/>
        </w:rPr>
        <w:t>.2025 ж., 16.00сағ.</w:t>
      </w:r>
    </w:p>
    <w:p w14:paraId="26FA1567" w14:textId="77777777" w:rsidR="006A2C48" w:rsidRPr="00AA1FBE" w:rsidRDefault="006A2C48">
      <w:pPr>
        <w:rPr>
          <w:lang w:val="kk-KZ"/>
        </w:rPr>
      </w:pPr>
    </w:p>
    <w:sectPr w:rsidR="006A2C48" w:rsidRPr="00AA1FBE" w:rsidSect="006A2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20002A87"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BB9"/>
    <w:multiLevelType w:val="hybridMultilevel"/>
    <w:tmpl w:val="71E4CC6E"/>
    <w:lvl w:ilvl="0" w:tplc="5C1284D6">
      <w:start w:val="1"/>
      <w:numFmt w:val="decimal"/>
      <w:lvlText w:val="%1."/>
      <w:lvlJc w:val="left"/>
      <w:pPr>
        <w:ind w:left="720" w:hanging="360"/>
      </w:pPr>
      <w:rPr>
        <w:rFonts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A1FBE"/>
    <w:rsid w:val="00402F28"/>
    <w:rsid w:val="006A2C48"/>
    <w:rsid w:val="00A26718"/>
    <w:rsid w:val="00AA1FBE"/>
    <w:rsid w:val="00AC46AB"/>
    <w:rsid w:val="00B659B5"/>
    <w:rsid w:val="00CD5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A805"/>
  <w15:docId w15:val="{2299F736-2887-427F-8C9F-3AA600ED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FBE"/>
    <w:pPr>
      <w:spacing w:after="160" w:line="256" w:lineRule="auto"/>
    </w:pPr>
    <w:rPr>
      <w:rFonts w:ascii="Calibri" w:eastAsia="Calibri" w:hAnsi="Calibri" w:cs="Times New Roman"/>
    </w:rPr>
  </w:style>
  <w:style w:type="paragraph" w:styleId="1">
    <w:name w:val="heading 1"/>
    <w:basedOn w:val="a"/>
    <w:next w:val="a"/>
    <w:link w:val="10"/>
    <w:uiPriority w:val="9"/>
    <w:qFormat/>
    <w:rsid w:val="00AA1FBE"/>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FBE"/>
    <w:rPr>
      <w:rFonts w:ascii="Calibri Light" w:eastAsia="Times New Roman" w:hAnsi="Calibri Light" w:cs="Times New Roman"/>
      <w:b/>
      <w:bCs/>
      <w:kern w:val="32"/>
      <w:sz w:val="32"/>
      <w:szCs w:val="32"/>
    </w:rPr>
  </w:style>
  <w:style w:type="paragraph" w:styleId="a3">
    <w:name w:val="No Spacing"/>
    <w:uiPriority w:val="1"/>
    <w:qFormat/>
    <w:rsid w:val="00AA1FBE"/>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AA1FB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AA1FBE"/>
    <w:rPr>
      <w:color w:val="0000FF"/>
      <w:u w:val="single"/>
    </w:rPr>
  </w:style>
  <w:style w:type="character" w:customStyle="1" w:styleId="15">
    <w:name w:val="15"/>
    <w:rsid w:val="00AA1FBE"/>
    <w:rPr>
      <w:rFonts w:ascii="Times New Roman" w:hAnsi="Times New Roman" w:cs="Times New Roman" w:hint="default"/>
      <w:b w:val="0"/>
      <w:bCs w:val="0"/>
      <w:i w:val="0"/>
      <w:iCs w:val="0"/>
      <w:color w:val="000000"/>
    </w:rPr>
  </w:style>
  <w:style w:type="paragraph" w:customStyle="1" w:styleId="11">
    <w:name w:val="Без интервала1"/>
    <w:basedOn w:val="a"/>
    <w:uiPriority w:val="99"/>
    <w:rsid w:val="00AA1FBE"/>
    <w:pPr>
      <w:spacing w:after="0" w:line="240" w:lineRule="auto"/>
    </w:pPr>
    <w:rPr>
      <w:rFonts w:eastAsia="Times New Roman"/>
      <w:sz w:val="24"/>
      <w:szCs w:val="24"/>
      <w:lang w:eastAsia="ru-RU"/>
    </w:rPr>
  </w:style>
  <w:style w:type="paragraph" w:styleId="a6">
    <w:basedOn w:val="a"/>
    <w:next w:val="a4"/>
    <w:uiPriority w:val="99"/>
    <w:unhideWhenUsed/>
    <w:rsid w:val="00AC46A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20000345_" TargetMode="External"/><Relationship Id="rId13" Type="http://schemas.openxmlformats.org/officeDocument/2006/relationships/hyperlink" Target="mailto:shahtinsk%1f_shlic@krg.gov.kz" TargetMode="Externa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hyperlink" Target="https://adilet.zan.kz/kaz/docs/Z970000151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1500000410" TargetMode="External"/><Relationship Id="rId5" Type="http://schemas.openxmlformats.org/officeDocument/2006/relationships/hyperlink" Target="mailto:shahtinsk_shlic@krg.gov.kz" TargetMode="External"/><Relationship Id="rId15" Type="http://schemas.openxmlformats.org/officeDocument/2006/relationships/theme" Target="theme/theme1.xml"/><Relationship Id="rId10" Type="http://schemas.openxmlformats.org/officeDocument/2006/relationships/hyperlink" Target="https://adilet.zan.kz/kaz/docs/Z020000343_" TargetMode="External"/><Relationship Id="rId4" Type="http://schemas.openxmlformats.org/officeDocument/2006/relationships/webSettings" Target="webSettings.xml"/><Relationship Id="rId9" Type="http://schemas.openxmlformats.org/officeDocument/2006/relationships/hyperlink" Target="https://adilet.zan.kz/kaz/docs/Z080000114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1221</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2026-01-08T12:28:00Z</cp:lastPrinted>
  <dcterms:created xsi:type="dcterms:W3CDTF">2025-11-19T07:38:00Z</dcterms:created>
  <dcterms:modified xsi:type="dcterms:W3CDTF">2026-01-08T12:29:00Z</dcterms:modified>
</cp:coreProperties>
</file>